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600" w:lineRule="exact"/>
        <w:jc w:val="both"/>
        <w:rPr>
          <w:rFonts w:ascii="Times New Roman" w:hAnsi="Times New Roman" w:eastAsia="方正大标宋简体"/>
          <w:snapToGrid w:val="0"/>
          <w:sz w:val="44"/>
        </w:rPr>
      </w:pPr>
    </w:p>
    <w:p>
      <w:pPr>
        <w:overflowPunct w:val="0"/>
        <w:adjustRightInd w:val="0"/>
        <w:snapToGrid w:val="0"/>
        <w:spacing w:line="600" w:lineRule="exact"/>
        <w:jc w:val="center"/>
        <w:rPr>
          <w:rFonts w:ascii="Times New Roman" w:hAnsi="Times New Roman" w:eastAsia="方正大标宋简体"/>
          <w:snapToGrid w:val="0"/>
          <w:sz w:val="44"/>
        </w:rPr>
      </w:pPr>
      <w:r>
        <w:rPr>
          <w:rFonts w:hint="eastAsia" w:ascii="Times New Roman" w:hAnsi="Times New Roman" w:eastAsia="方正大标宋简体"/>
          <w:snapToGrid w:val="0"/>
          <w:sz w:val="44"/>
        </w:rPr>
        <w:t>北京证券交易所以上市公司质量为导向的</w:t>
      </w:r>
    </w:p>
    <w:p>
      <w:pPr>
        <w:overflowPunct w:val="0"/>
        <w:adjustRightInd w:val="0"/>
        <w:snapToGrid w:val="0"/>
        <w:spacing w:line="600" w:lineRule="exact"/>
        <w:jc w:val="center"/>
        <w:rPr>
          <w:rFonts w:ascii="Times New Roman" w:hAnsi="Times New Roman" w:eastAsia="方正大标宋简体"/>
          <w:snapToGrid w:val="0"/>
          <w:sz w:val="44"/>
        </w:rPr>
      </w:pPr>
      <w:r>
        <w:rPr>
          <w:rFonts w:hint="eastAsia" w:ascii="Times New Roman" w:hAnsi="Times New Roman" w:eastAsia="方正大标宋简体"/>
          <w:snapToGrid w:val="0"/>
          <w:sz w:val="44"/>
        </w:rPr>
        <w:t>保荐机构执业质量评价指引（试行）</w:t>
      </w:r>
    </w:p>
    <w:p>
      <w:pPr>
        <w:overflowPunct w:val="0"/>
        <w:adjustRightInd w:val="0"/>
        <w:snapToGrid w:val="0"/>
        <w:spacing w:line="600" w:lineRule="exact"/>
        <w:jc w:val="center"/>
        <w:rPr>
          <w:rFonts w:ascii="Times New Roman" w:hAnsi="Times New Roman" w:eastAsia="方正大标宋简体"/>
          <w:snapToGrid w:val="0"/>
          <w:sz w:val="44"/>
        </w:rPr>
      </w:pPr>
      <w:r>
        <w:rPr>
          <w:rFonts w:hint="eastAsia" w:ascii="Times New Roman" w:hAnsi="Times New Roman" w:eastAsia="方正大标宋简体"/>
          <w:snapToGrid w:val="0"/>
          <w:sz w:val="44"/>
        </w:rPr>
        <w:t>（2</w:t>
      </w:r>
      <w:r>
        <w:rPr>
          <w:rFonts w:ascii="Times New Roman" w:hAnsi="Times New Roman" w:eastAsia="方正大标宋简体"/>
          <w:snapToGrid w:val="0"/>
          <w:sz w:val="44"/>
        </w:rPr>
        <w:t>025年修订</w:t>
      </w:r>
      <w:r>
        <w:rPr>
          <w:rFonts w:hint="eastAsia" w:ascii="Times New Roman" w:hAnsi="Times New Roman" w:eastAsia="方正大标宋简体"/>
          <w:snapToGrid w:val="0"/>
          <w:sz w:val="44"/>
        </w:rPr>
        <w:t>）</w:t>
      </w:r>
    </w:p>
    <w:p>
      <w:pPr>
        <w:overflowPunct w:val="0"/>
        <w:adjustRightInd w:val="0"/>
        <w:snapToGrid w:val="0"/>
        <w:spacing w:line="600" w:lineRule="exact"/>
        <w:ind w:firstLine="880" w:firstLineChars="200"/>
        <w:jc w:val="center"/>
        <w:rPr>
          <w:rFonts w:ascii="Times New Roman" w:hAnsi="Times New Roman" w:eastAsia="仿宋"/>
          <w:snapToGrid w:val="0"/>
          <w:sz w:val="44"/>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0" w:firstLineChars="0"/>
        <w:jc w:val="center"/>
        <w:textAlignment w:val="auto"/>
        <w:rPr>
          <w:rFonts w:hint="eastAsia" w:ascii="Times New Roman" w:hAnsi="Times New Roman" w:eastAsia="楷体" w:cs="楷体"/>
          <w:snapToGrid w:val="0"/>
          <w:sz w:val="32"/>
          <w:szCs w:val="32"/>
          <w:lang w:eastAsia="zh-CN"/>
        </w:rPr>
      </w:pPr>
      <w:r>
        <w:rPr>
          <w:rFonts w:hint="eastAsia" w:ascii="Times New Roman" w:hAnsi="Times New Roman" w:eastAsia="楷体" w:cs="楷体"/>
          <w:snapToGrid w:val="0"/>
          <w:sz w:val="32"/>
          <w:szCs w:val="32"/>
          <w:lang w:eastAsia="zh-CN"/>
        </w:rPr>
        <w:t>（</w:t>
      </w:r>
      <w:r>
        <w:rPr>
          <w:rFonts w:hint="eastAsia" w:ascii="Times New Roman" w:hAnsi="Times New Roman" w:eastAsia="楷体" w:cs="楷体"/>
          <w:snapToGrid w:val="0"/>
          <w:sz w:val="32"/>
          <w:szCs w:val="32"/>
          <w:lang w:val="en-US" w:eastAsia="zh-CN"/>
        </w:rPr>
        <w:t>2024年11月1日发布，2025年9月26日修订</w:t>
      </w:r>
      <w:r>
        <w:rPr>
          <w:rFonts w:hint="eastAsia" w:ascii="Times New Roman" w:hAnsi="Times New Roman" w:eastAsia="楷体" w:cs="楷体"/>
          <w:snapToGrid w:val="0"/>
          <w:sz w:val="32"/>
          <w:szCs w:val="32"/>
          <w:lang w:eastAsia="zh-CN"/>
        </w:rPr>
        <w:t>）</w:t>
      </w:r>
    </w:p>
    <w:p>
      <w:pPr>
        <w:overflowPunct w:val="0"/>
        <w:adjustRightInd w:val="0"/>
        <w:snapToGrid w:val="0"/>
        <w:spacing w:line="600" w:lineRule="exact"/>
        <w:ind w:firstLine="880" w:firstLineChars="200"/>
        <w:jc w:val="center"/>
        <w:rPr>
          <w:rFonts w:ascii="Times New Roman" w:hAnsi="Times New Roman" w:eastAsia="仿宋"/>
          <w:snapToGrid w:val="0"/>
          <w:sz w:val="44"/>
        </w:rPr>
      </w:pPr>
    </w:p>
    <w:p>
      <w:pPr>
        <w:overflowPunct w:val="0"/>
        <w:adjustRightInd w:val="0"/>
        <w:snapToGrid w:val="0"/>
        <w:spacing w:before="240" w:after="240" w:line="600" w:lineRule="exact"/>
        <w:jc w:val="center"/>
        <w:rPr>
          <w:rFonts w:ascii="Times New Roman" w:hAnsi="Times New Roman" w:eastAsia="黑体"/>
          <w:snapToGrid w:val="0"/>
          <w:sz w:val="32"/>
        </w:rPr>
      </w:pPr>
      <w:r>
        <w:rPr>
          <w:rFonts w:ascii="Times New Roman" w:hAnsi="Times New Roman" w:eastAsia="黑体"/>
          <w:snapToGrid w:val="0"/>
          <w:sz w:val="32"/>
        </w:rPr>
        <w:t>第一章</w:t>
      </w:r>
      <w:r>
        <w:rPr>
          <w:rFonts w:ascii="Times New Roman" w:hAnsi="Times New Roman" w:eastAsia="黑体"/>
          <w:snapToGrid w:val="0"/>
          <w:sz w:val="32"/>
        </w:rPr>
        <w:tab/>
      </w:r>
      <w:r>
        <w:rPr>
          <w:rFonts w:ascii="Times New Roman" w:hAnsi="Times New Roman" w:eastAsia="黑体"/>
          <w:snapToGrid w:val="0"/>
          <w:sz w:val="32"/>
        </w:rPr>
        <w:t>总 则</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 xml:space="preserve">第一条 </w:t>
      </w:r>
      <w:r>
        <w:rPr>
          <w:rFonts w:ascii="Times New Roman" w:hAnsi="Times New Roman" w:eastAsia="仿宋"/>
          <w:snapToGrid w:val="0"/>
          <w:sz w:val="32"/>
          <w:szCs w:val="32"/>
        </w:rPr>
        <w:t>为提升保荐机构执业水平，提高</w:t>
      </w:r>
      <w:r>
        <w:rPr>
          <w:rFonts w:hint="eastAsia" w:ascii="Times New Roman" w:hAnsi="Times New Roman" w:eastAsia="仿宋"/>
          <w:snapToGrid w:val="0"/>
          <w:sz w:val="32"/>
          <w:szCs w:val="32"/>
        </w:rPr>
        <w:t>北京证券交易所（以下</w:t>
      </w:r>
      <w:r>
        <w:rPr>
          <w:rFonts w:ascii="Times New Roman" w:hAnsi="Times New Roman" w:eastAsia="仿宋"/>
          <w:snapToGrid w:val="0"/>
          <w:sz w:val="32"/>
          <w:szCs w:val="32"/>
        </w:rPr>
        <w:t>简称北交所</w:t>
      </w:r>
      <w:r>
        <w:rPr>
          <w:rFonts w:hint="eastAsia" w:ascii="Times New Roman" w:hAnsi="Times New Roman" w:eastAsia="仿宋"/>
          <w:snapToGrid w:val="0"/>
          <w:sz w:val="32"/>
          <w:szCs w:val="32"/>
        </w:rPr>
        <w:t>）</w:t>
      </w:r>
      <w:r>
        <w:rPr>
          <w:rFonts w:ascii="Times New Roman" w:hAnsi="Times New Roman" w:eastAsia="仿宋"/>
          <w:snapToGrid w:val="0"/>
          <w:sz w:val="32"/>
          <w:szCs w:val="32"/>
        </w:rPr>
        <w:t>公开发行股票并上市保荐项目（以下</w:t>
      </w:r>
      <w:r>
        <w:rPr>
          <w:rFonts w:hint="eastAsia" w:ascii="Times New Roman" w:hAnsi="Times New Roman" w:eastAsia="仿宋"/>
          <w:snapToGrid w:val="0"/>
          <w:sz w:val="32"/>
          <w:szCs w:val="32"/>
        </w:rPr>
        <w:t>简称上市保荐</w:t>
      </w:r>
      <w:r>
        <w:rPr>
          <w:rFonts w:ascii="Times New Roman" w:hAnsi="Times New Roman" w:eastAsia="仿宋"/>
          <w:snapToGrid w:val="0"/>
          <w:sz w:val="32"/>
          <w:szCs w:val="32"/>
        </w:rPr>
        <w:t>项目）质量，根据《</w:t>
      </w:r>
      <w:r>
        <w:rPr>
          <w:rFonts w:hint="eastAsia" w:ascii="Times New Roman" w:hAnsi="Times New Roman" w:eastAsia="仿宋"/>
          <w:snapToGrid w:val="0"/>
          <w:sz w:val="32"/>
          <w:szCs w:val="32"/>
        </w:rPr>
        <w:t>北京证券交易所向不特定</w:t>
      </w:r>
      <w:r>
        <w:rPr>
          <w:rFonts w:ascii="Times New Roman" w:hAnsi="Times New Roman" w:eastAsia="仿宋"/>
          <w:snapToGrid w:val="0"/>
          <w:sz w:val="32"/>
          <w:szCs w:val="32"/>
        </w:rPr>
        <w:t>合格投资者公开发行股票注册管理办法》《</w:t>
      </w:r>
      <w:bookmarkStart w:id="0" w:name="_GoBack"/>
      <w:bookmarkEnd w:id="0"/>
      <w:r>
        <w:rPr>
          <w:rFonts w:hint="eastAsia" w:ascii="Times New Roman" w:hAnsi="Times New Roman" w:eastAsia="仿宋"/>
          <w:snapToGrid w:val="0"/>
          <w:sz w:val="32"/>
          <w:szCs w:val="32"/>
        </w:rPr>
        <w:t>北京</w:t>
      </w:r>
      <w:r>
        <w:rPr>
          <w:rFonts w:ascii="Times New Roman" w:hAnsi="Times New Roman" w:eastAsia="仿宋"/>
          <w:snapToGrid w:val="0"/>
          <w:sz w:val="32"/>
          <w:szCs w:val="32"/>
        </w:rPr>
        <w:t>证券交易所</w:t>
      </w:r>
      <w:r>
        <w:rPr>
          <w:rFonts w:hint="eastAsia" w:ascii="Times New Roman" w:hAnsi="Times New Roman" w:eastAsia="仿宋"/>
          <w:snapToGrid w:val="0"/>
          <w:sz w:val="32"/>
          <w:szCs w:val="32"/>
        </w:rPr>
        <w:t>向不特定</w:t>
      </w:r>
      <w:r>
        <w:rPr>
          <w:rFonts w:ascii="Times New Roman" w:hAnsi="Times New Roman" w:eastAsia="仿宋"/>
          <w:snapToGrid w:val="0"/>
          <w:sz w:val="32"/>
          <w:szCs w:val="32"/>
        </w:rPr>
        <w:t>合格投资者公开发行股票并上市审核规则》</w:t>
      </w:r>
      <w:r>
        <w:rPr>
          <w:rFonts w:hint="eastAsia" w:ascii="Times New Roman" w:hAnsi="Times New Roman" w:eastAsia="仿宋"/>
          <w:snapToGrid w:val="0"/>
          <w:sz w:val="32"/>
          <w:szCs w:val="32"/>
        </w:rPr>
        <w:t>《北京证券交易所证券</w:t>
      </w:r>
      <w:r>
        <w:rPr>
          <w:rFonts w:ascii="Times New Roman" w:hAnsi="Times New Roman" w:eastAsia="仿宋"/>
          <w:snapToGrid w:val="0"/>
          <w:sz w:val="32"/>
          <w:szCs w:val="32"/>
        </w:rPr>
        <w:t>发行上市保荐业务管理细则</w:t>
      </w:r>
      <w:r>
        <w:rPr>
          <w:rFonts w:hint="eastAsia" w:ascii="Times New Roman" w:hAnsi="Times New Roman" w:eastAsia="仿宋"/>
          <w:snapToGrid w:val="0"/>
          <w:sz w:val="32"/>
          <w:szCs w:val="32"/>
        </w:rPr>
        <w:t>》</w:t>
      </w:r>
      <w:r>
        <w:rPr>
          <w:rFonts w:ascii="Times New Roman" w:hAnsi="Times New Roman" w:eastAsia="仿宋"/>
          <w:snapToGrid w:val="0"/>
          <w:sz w:val="32"/>
          <w:szCs w:val="32"/>
        </w:rPr>
        <w:t>等规定，制定本指引。</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 xml:space="preserve">第二条 </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对从事</w:t>
      </w:r>
      <w:r>
        <w:rPr>
          <w:rFonts w:hint="eastAsia" w:ascii="Times New Roman" w:hAnsi="Times New Roman" w:eastAsia="仿宋"/>
          <w:snapToGrid w:val="0"/>
          <w:sz w:val="32"/>
          <w:szCs w:val="32"/>
        </w:rPr>
        <w:t>公开发行</w:t>
      </w:r>
      <w:r>
        <w:rPr>
          <w:rFonts w:ascii="Times New Roman" w:hAnsi="Times New Roman" w:eastAsia="仿宋"/>
          <w:snapToGrid w:val="0"/>
          <w:sz w:val="32"/>
          <w:szCs w:val="32"/>
        </w:rPr>
        <w:t>股票</w:t>
      </w:r>
      <w:r>
        <w:rPr>
          <w:rFonts w:hint="eastAsia" w:ascii="Times New Roman" w:hAnsi="Times New Roman" w:eastAsia="仿宋"/>
          <w:snapToGrid w:val="0"/>
          <w:sz w:val="32"/>
          <w:szCs w:val="32"/>
        </w:rPr>
        <w:t>并上市保荐业务的</w:t>
      </w:r>
      <w:r>
        <w:rPr>
          <w:rFonts w:ascii="Times New Roman" w:hAnsi="Times New Roman" w:eastAsia="仿宋"/>
          <w:snapToGrid w:val="0"/>
          <w:sz w:val="32"/>
          <w:szCs w:val="32"/>
        </w:rPr>
        <w:t>保荐机构</w:t>
      </w:r>
      <w:r>
        <w:rPr>
          <w:rFonts w:hint="eastAsia" w:ascii="Times New Roman" w:hAnsi="Times New Roman" w:eastAsia="仿宋"/>
          <w:snapToGrid w:val="0"/>
          <w:sz w:val="32"/>
          <w:szCs w:val="32"/>
        </w:rPr>
        <w:t>开展</w:t>
      </w:r>
      <w:r>
        <w:rPr>
          <w:rFonts w:ascii="Times New Roman" w:hAnsi="Times New Roman" w:eastAsia="仿宋"/>
          <w:snapToGrid w:val="0"/>
          <w:sz w:val="32"/>
          <w:szCs w:val="32"/>
        </w:rPr>
        <w:t>以上市公司质量为导向的执业质量评价适用本指引。本</w:t>
      </w:r>
      <w:r>
        <w:rPr>
          <w:rFonts w:hint="eastAsia" w:ascii="Times New Roman" w:hAnsi="Times New Roman" w:eastAsia="仿宋"/>
          <w:snapToGrid w:val="0"/>
          <w:sz w:val="32"/>
          <w:szCs w:val="32"/>
        </w:rPr>
        <w:t>指引</w:t>
      </w:r>
      <w:r>
        <w:rPr>
          <w:rFonts w:ascii="Times New Roman" w:hAnsi="Times New Roman" w:eastAsia="仿宋"/>
          <w:snapToGrid w:val="0"/>
          <w:sz w:val="32"/>
          <w:szCs w:val="32"/>
        </w:rPr>
        <w:t>未作规定的，适用中国证券监督管理委员会（以下简称中国证监会）和</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的其他规定。</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 xml:space="preserve">第三条 </w:t>
      </w:r>
      <w:r>
        <w:rPr>
          <w:rFonts w:ascii="Times New Roman" w:hAnsi="Times New Roman" w:eastAsia="仿宋"/>
          <w:snapToGrid w:val="0"/>
          <w:sz w:val="32"/>
          <w:szCs w:val="32"/>
        </w:rPr>
        <w:t>本指引所称以上市公司质量为导向的保荐机构执业质量评价，是指</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按照科学、合理、客观的原则，</w:t>
      </w:r>
      <w:r>
        <w:rPr>
          <w:rFonts w:hint="eastAsia" w:ascii="Times New Roman" w:hAnsi="Times New Roman" w:eastAsia="仿宋"/>
          <w:snapToGrid w:val="0"/>
          <w:sz w:val="32"/>
          <w:szCs w:val="32"/>
        </w:rPr>
        <w:t>重点突出投资者投资决策需求，</w:t>
      </w:r>
      <w:r>
        <w:rPr>
          <w:rFonts w:ascii="Times New Roman" w:hAnsi="Times New Roman" w:eastAsia="仿宋"/>
          <w:snapToGrid w:val="0"/>
          <w:sz w:val="32"/>
          <w:szCs w:val="32"/>
        </w:rPr>
        <w:t>基于上市公司质量和保荐业务质量等评价内容，形成对保荐机构</w:t>
      </w:r>
      <w:r>
        <w:rPr>
          <w:rFonts w:hint="eastAsia" w:ascii="Times New Roman" w:hAnsi="Times New Roman" w:eastAsia="仿宋"/>
          <w:snapToGrid w:val="0"/>
          <w:sz w:val="32"/>
          <w:szCs w:val="32"/>
        </w:rPr>
        <w:t>上市</w:t>
      </w:r>
      <w:r>
        <w:rPr>
          <w:rFonts w:ascii="Times New Roman" w:hAnsi="Times New Roman" w:eastAsia="仿宋"/>
          <w:snapToGrid w:val="0"/>
          <w:sz w:val="32"/>
          <w:szCs w:val="32"/>
        </w:rPr>
        <w:t>保荐项目执业质量的综合评价。</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 xml:space="preserve">第四条 </w:t>
      </w:r>
      <w:r>
        <w:rPr>
          <w:rFonts w:ascii="Times New Roman" w:hAnsi="Times New Roman" w:eastAsia="仿宋"/>
          <w:snapToGrid w:val="0"/>
          <w:sz w:val="32"/>
          <w:szCs w:val="32"/>
        </w:rPr>
        <w:t>上市公司质量的评价范围，</w:t>
      </w:r>
      <w:r>
        <w:rPr>
          <w:rFonts w:hint="eastAsia" w:ascii="Times New Roman" w:hAnsi="Times New Roman" w:eastAsia="仿宋"/>
          <w:sz w:val="32"/>
        </w:rPr>
        <w:t>为保荐机构T</w:t>
      </w:r>
      <w:r>
        <w:rPr>
          <w:rFonts w:ascii="Times New Roman" w:hAnsi="Times New Roman" w:eastAsia="仿宋"/>
          <w:sz w:val="32"/>
        </w:rPr>
        <w:t>-3</w:t>
      </w:r>
      <w:r>
        <w:rPr>
          <w:rFonts w:hint="eastAsia" w:ascii="Times New Roman" w:hAnsi="Times New Roman" w:eastAsia="仿宋"/>
          <w:sz w:val="32"/>
        </w:rPr>
        <w:t>年当年保荐</w:t>
      </w:r>
      <w:r>
        <w:rPr>
          <w:rFonts w:ascii="Times New Roman" w:hAnsi="Times New Roman" w:eastAsia="仿宋"/>
          <w:sz w:val="32"/>
        </w:rPr>
        <w:t>上市</w:t>
      </w:r>
      <w:r>
        <w:rPr>
          <w:rFonts w:hint="eastAsia" w:ascii="Times New Roman" w:hAnsi="Times New Roman" w:eastAsia="仿宋"/>
          <w:sz w:val="32"/>
        </w:rPr>
        <w:t>的</w:t>
      </w:r>
      <w:r>
        <w:rPr>
          <w:rFonts w:ascii="Times New Roman" w:hAnsi="Times New Roman" w:eastAsia="仿宋"/>
          <w:sz w:val="32"/>
        </w:rPr>
        <w:t>公司</w:t>
      </w:r>
      <w:r>
        <w:rPr>
          <w:rFonts w:hint="eastAsia" w:ascii="Times New Roman" w:hAnsi="Times New Roman" w:eastAsia="仿宋"/>
          <w:sz w:val="32"/>
        </w:rPr>
        <w:t>（不含上市公司公开发行股票</w:t>
      </w:r>
      <w:r>
        <w:rPr>
          <w:rFonts w:ascii="Times New Roman" w:hAnsi="Times New Roman" w:eastAsia="仿宋"/>
          <w:sz w:val="32"/>
        </w:rPr>
        <w:t>，</w:t>
      </w:r>
      <w:r>
        <w:rPr>
          <w:rFonts w:hint="eastAsia" w:ascii="Times New Roman" w:hAnsi="Times New Roman" w:eastAsia="仿宋"/>
          <w:sz w:val="32"/>
        </w:rPr>
        <w:t>T为评价年度</w:t>
      </w:r>
      <w:r>
        <w:rPr>
          <w:rFonts w:ascii="Times New Roman" w:hAnsi="Times New Roman" w:eastAsia="仿宋"/>
          <w:sz w:val="32"/>
        </w:rPr>
        <w:t>，</w:t>
      </w:r>
      <w:r>
        <w:rPr>
          <w:rFonts w:hint="eastAsia" w:ascii="Times New Roman" w:hAnsi="Times New Roman" w:eastAsia="仿宋"/>
          <w:sz w:val="32"/>
        </w:rPr>
        <w:t>下同）。</w:t>
      </w:r>
      <w:r>
        <w:rPr>
          <w:rFonts w:ascii="Times New Roman" w:hAnsi="Times New Roman" w:eastAsia="仿宋"/>
          <w:snapToGrid w:val="0"/>
          <w:sz w:val="32"/>
          <w:szCs w:val="32"/>
        </w:rPr>
        <w:t>保荐业务质量的评价范围，</w:t>
      </w:r>
      <w:r>
        <w:rPr>
          <w:rFonts w:hint="eastAsia" w:ascii="Times New Roman" w:hAnsi="Times New Roman" w:eastAsia="仿宋"/>
          <w:snapToGrid w:val="0"/>
          <w:sz w:val="32"/>
          <w:szCs w:val="32"/>
        </w:rPr>
        <w:t>为保荐机构T年开展北交所保荐业务的执业质量情况。</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评价期间为相应年度的1月1日至12月31日。</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w:t>
      </w:r>
      <w:r>
        <w:rPr>
          <w:rFonts w:hint="eastAsia" w:ascii="Times New Roman" w:hAnsi="Times New Roman" w:eastAsia="仿宋"/>
          <w:b/>
          <w:snapToGrid w:val="0"/>
          <w:sz w:val="32"/>
          <w:szCs w:val="32"/>
        </w:rPr>
        <w:t>五</w:t>
      </w:r>
      <w:r>
        <w:rPr>
          <w:rFonts w:ascii="Times New Roman" w:hAnsi="Times New Roman" w:eastAsia="仿宋"/>
          <w:b/>
          <w:snapToGrid w:val="0"/>
          <w:sz w:val="32"/>
          <w:szCs w:val="32"/>
        </w:rPr>
        <w:t xml:space="preserve">条 </w:t>
      </w:r>
      <w:r>
        <w:rPr>
          <w:rFonts w:ascii="Times New Roman" w:hAnsi="Times New Roman" w:eastAsia="仿宋"/>
          <w:snapToGrid w:val="0"/>
          <w:sz w:val="32"/>
          <w:szCs w:val="32"/>
        </w:rPr>
        <w:t>项目涉及联合保荐的，上市公司质量得分及保荐业务质量得分，计入联合保荐机构各自得分。</w:t>
      </w:r>
    </w:p>
    <w:p>
      <w:pPr>
        <w:overflowPunct w:val="0"/>
        <w:adjustRightInd w:val="0"/>
        <w:snapToGrid w:val="0"/>
        <w:spacing w:before="240" w:after="240" w:line="600" w:lineRule="exact"/>
        <w:jc w:val="center"/>
        <w:rPr>
          <w:rFonts w:ascii="Times New Roman" w:hAnsi="Times New Roman" w:eastAsia="黑体"/>
          <w:snapToGrid w:val="0"/>
          <w:sz w:val="32"/>
        </w:rPr>
      </w:pPr>
      <w:r>
        <w:rPr>
          <w:rFonts w:ascii="Times New Roman" w:hAnsi="Times New Roman" w:eastAsia="黑体"/>
          <w:snapToGrid w:val="0"/>
          <w:sz w:val="32"/>
        </w:rPr>
        <w:t>第二章</w:t>
      </w:r>
      <w:r>
        <w:rPr>
          <w:rFonts w:ascii="Times New Roman" w:hAnsi="Times New Roman" w:eastAsia="黑体"/>
          <w:snapToGrid w:val="0"/>
          <w:sz w:val="32"/>
        </w:rPr>
        <w:tab/>
      </w:r>
      <w:r>
        <w:rPr>
          <w:rFonts w:ascii="Times New Roman" w:hAnsi="Times New Roman" w:eastAsia="黑体"/>
          <w:snapToGrid w:val="0"/>
          <w:sz w:val="32"/>
        </w:rPr>
        <w:t>评价内容与指标</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w:t>
      </w:r>
      <w:r>
        <w:rPr>
          <w:rFonts w:hint="eastAsia" w:ascii="Times New Roman" w:hAnsi="Times New Roman" w:eastAsia="仿宋"/>
          <w:b/>
          <w:snapToGrid w:val="0"/>
          <w:sz w:val="32"/>
          <w:szCs w:val="32"/>
        </w:rPr>
        <w:t>六</w:t>
      </w:r>
      <w:r>
        <w:rPr>
          <w:rFonts w:ascii="Times New Roman" w:hAnsi="Times New Roman" w:eastAsia="仿宋"/>
          <w:b/>
          <w:snapToGrid w:val="0"/>
          <w:sz w:val="32"/>
          <w:szCs w:val="32"/>
        </w:rPr>
        <w:t xml:space="preserve">条 </w:t>
      </w:r>
      <w:r>
        <w:rPr>
          <w:rFonts w:ascii="Times New Roman" w:hAnsi="Times New Roman" w:eastAsia="仿宋"/>
          <w:snapToGrid w:val="0"/>
          <w:sz w:val="32"/>
          <w:szCs w:val="32"/>
        </w:rPr>
        <w:t>评价体系包括上市公司质量评价（权重占比90%）、保荐业务质量评价（权重占比10%）和评价得分调整（不设权重）三个部分。</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评价体系构成及权重分布见附件1。</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w:t>
      </w:r>
      <w:r>
        <w:rPr>
          <w:rFonts w:hint="eastAsia" w:ascii="Times New Roman" w:hAnsi="Times New Roman" w:eastAsia="仿宋"/>
          <w:b/>
          <w:snapToGrid w:val="0"/>
          <w:sz w:val="32"/>
          <w:szCs w:val="32"/>
        </w:rPr>
        <w:t>七</w:t>
      </w:r>
      <w:r>
        <w:rPr>
          <w:rFonts w:ascii="Times New Roman" w:hAnsi="Times New Roman" w:eastAsia="仿宋"/>
          <w:b/>
          <w:snapToGrid w:val="0"/>
          <w:sz w:val="32"/>
          <w:szCs w:val="32"/>
        </w:rPr>
        <w:t>条</w:t>
      </w:r>
      <w:r>
        <w:rPr>
          <w:rFonts w:ascii="Times New Roman" w:hAnsi="Times New Roman" w:eastAsia="仿宋"/>
          <w:snapToGrid w:val="0"/>
          <w:sz w:val="32"/>
          <w:szCs w:val="32"/>
        </w:rPr>
        <w:t xml:space="preserve"> 上市公司质量评价主要衡量公司的经营质量、市场表现及</w:t>
      </w:r>
      <w:r>
        <w:rPr>
          <w:rFonts w:hint="eastAsia" w:ascii="Times New Roman" w:hAnsi="Times New Roman" w:eastAsia="仿宋"/>
          <w:snapToGrid w:val="0"/>
          <w:sz w:val="32"/>
          <w:szCs w:val="32"/>
        </w:rPr>
        <w:t>治理质量等情况</w:t>
      </w:r>
      <w:r>
        <w:rPr>
          <w:rFonts w:ascii="Times New Roman" w:hAnsi="Times New Roman" w:eastAsia="仿宋"/>
          <w:snapToGrid w:val="0"/>
          <w:sz w:val="32"/>
          <w:szCs w:val="32"/>
        </w:rPr>
        <w:t>。</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经营质量包括盈利能力、成长能力、创新能力三部分。盈利能力下设扣非归母净利润规模、经营活动净现金流占营业收入比重、销售净利率、净资产收益率四个指标；成长能力下设营业收入增速、扣非归母净利润增速</w:t>
      </w:r>
      <w:r>
        <w:rPr>
          <w:rFonts w:hint="eastAsia" w:ascii="Times New Roman" w:hAnsi="Times New Roman" w:eastAsia="仿宋"/>
          <w:snapToGrid w:val="0"/>
          <w:sz w:val="32"/>
          <w:szCs w:val="32"/>
        </w:rPr>
        <w:t>、</w:t>
      </w:r>
      <w:r>
        <w:rPr>
          <w:rFonts w:ascii="Times New Roman" w:hAnsi="Times New Roman" w:eastAsia="仿宋"/>
          <w:snapToGrid w:val="0"/>
          <w:sz w:val="32"/>
          <w:szCs w:val="32"/>
        </w:rPr>
        <w:t>业绩下滑调整三个指标；创新能力下设研发支出占比、</w:t>
      </w:r>
      <w:r>
        <w:rPr>
          <w:rFonts w:hint="eastAsia" w:ascii="Times New Roman" w:hAnsi="Times New Roman" w:eastAsia="仿宋"/>
          <w:snapToGrid w:val="0"/>
          <w:sz w:val="32"/>
          <w:szCs w:val="32"/>
        </w:rPr>
        <w:t>研发人员占比两</w:t>
      </w:r>
      <w:r>
        <w:rPr>
          <w:rFonts w:ascii="Times New Roman" w:hAnsi="Times New Roman" w:eastAsia="仿宋"/>
          <w:snapToGrid w:val="0"/>
          <w:sz w:val="32"/>
          <w:szCs w:val="32"/>
        </w:rPr>
        <w:t>个指标。</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市场表现包括投资者回报</w:t>
      </w:r>
      <w:r>
        <w:rPr>
          <w:rFonts w:hint="eastAsia" w:ascii="Times New Roman" w:hAnsi="Times New Roman" w:eastAsia="仿宋"/>
          <w:snapToGrid w:val="0"/>
          <w:sz w:val="32"/>
          <w:szCs w:val="32"/>
        </w:rPr>
        <w:t>、</w:t>
      </w:r>
      <w:r>
        <w:rPr>
          <w:rFonts w:ascii="Times New Roman" w:hAnsi="Times New Roman" w:eastAsia="仿宋"/>
          <w:snapToGrid w:val="0"/>
          <w:sz w:val="32"/>
          <w:szCs w:val="32"/>
        </w:rPr>
        <w:t>市场估值</w:t>
      </w:r>
      <w:r>
        <w:rPr>
          <w:rFonts w:hint="eastAsia" w:ascii="Times New Roman" w:hAnsi="Times New Roman" w:eastAsia="仿宋"/>
          <w:snapToGrid w:val="0"/>
          <w:sz w:val="32"/>
          <w:szCs w:val="32"/>
        </w:rPr>
        <w:t>两</w:t>
      </w:r>
      <w:r>
        <w:rPr>
          <w:rFonts w:ascii="Times New Roman" w:hAnsi="Times New Roman" w:eastAsia="仿宋"/>
          <w:snapToGrid w:val="0"/>
          <w:sz w:val="32"/>
          <w:szCs w:val="32"/>
        </w:rPr>
        <w:t>部分。投资者回报下设年化回报率</w:t>
      </w:r>
      <w:r>
        <w:rPr>
          <w:rFonts w:hint="eastAsia" w:ascii="Times New Roman" w:hAnsi="Times New Roman" w:eastAsia="仿宋"/>
          <w:snapToGrid w:val="0"/>
          <w:sz w:val="32"/>
          <w:szCs w:val="32"/>
        </w:rPr>
        <w:t>一</w:t>
      </w:r>
      <w:r>
        <w:rPr>
          <w:rFonts w:ascii="Times New Roman" w:hAnsi="Times New Roman" w:eastAsia="仿宋"/>
          <w:snapToGrid w:val="0"/>
          <w:sz w:val="32"/>
          <w:szCs w:val="32"/>
        </w:rPr>
        <w:t>个指标；市场估值下设总市值</w:t>
      </w:r>
      <w:r>
        <w:rPr>
          <w:rFonts w:hint="eastAsia" w:ascii="Times New Roman" w:hAnsi="Times New Roman" w:eastAsia="仿宋"/>
          <w:snapToGrid w:val="0"/>
          <w:sz w:val="32"/>
          <w:szCs w:val="32"/>
        </w:rPr>
        <w:t>、</w:t>
      </w:r>
      <w:r>
        <w:rPr>
          <w:rFonts w:ascii="Times New Roman" w:hAnsi="Times New Roman" w:eastAsia="仿宋"/>
          <w:snapToGrid w:val="0"/>
          <w:sz w:val="32"/>
          <w:szCs w:val="32"/>
        </w:rPr>
        <w:t>总市值增长率</w:t>
      </w:r>
      <w:r>
        <w:rPr>
          <w:rFonts w:hint="eastAsia" w:ascii="Times New Roman" w:hAnsi="Times New Roman" w:eastAsia="仿宋"/>
          <w:snapToGrid w:val="0"/>
          <w:sz w:val="32"/>
          <w:szCs w:val="32"/>
        </w:rPr>
        <w:t>、纳入市场</w:t>
      </w:r>
      <w:r>
        <w:rPr>
          <w:rFonts w:ascii="Times New Roman" w:hAnsi="Times New Roman" w:eastAsia="仿宋"/>
          <w:snapToGrid w:val="0"/>
          <w:sz w:val="32"/>
          <w:szCs w:val="32"/>
        </w:rPr>
        <w:t>指数</w:t>
      </w:r>
      <w:r>
        <w:rPr>
          <w:rFonts w:hint="eastAsia" w:ascii="Times New Roman" w:hAnsi="Times New Roman" w:eastAsia="仿宋"/>
          <w:snapToGrid w:val="0"/>
          <w:sz w:val="32"/>
          <w:szCs w:val="32"/>
        </w:rPr>
        <w:t>情况三</w:t>
      </w:r>
      <w:r>
        <w:rPr>
          <w:rFonts w:ascii="Times New Roman" w:hAnsi="Times New Roman" w:eastAsia="仿宋"/>
          <w:snapToGrid w:val="0"/>
          <w:sz w:val="32"/>
          <w:szCs w:val="32"/>
        </w:rPr>
        <w:t>个指标。</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hint="eastAsia" w:ascii="Times New Roman" w:hAnsi="Times New Roman" w:eastAsia="仿宋"/>
          <w:snapToGrid w:val="0"/>
          <w:sz w:val="32"/>
          <w:szCs w:val="32"/>
        </w:rPr>
        <w:t>公司治理</w:t>
      </w:r>
      <w:r>
        <w:rPr>
          <w:rFonts w:ascii="Times New Roman" w:hAnsi="Times New Roman" w:eastAsia="仿宋"/>
          <w:snapToGrid w:val="0"/>
          <w:sz w:val="32"/>
          <w:szCs w:val="32"/>
        </w:rPr>
        <w:t>质量包括信息披露和监管合规两个部分</w:t>
      </w:r>
      <w:r>
        <w:rPr>
          <w:rFonts w:hint="eastAsia" w:ascii="Times New Roman" w:hAnsi="Times New Roman" w:eastAsia="仿宋"/>
          <w:snapToGrid w:val="0"/>
          <w:sz w:val="32"/>
          <w:szCs w:val="32"/>
        </w:rPr>
        <w:t>，分别</w:t>
      </w:r>
      <w:r>
        <w:rPr>
          <w:rFonts w:ascii="Times New Roman" w:hAnsi="Times New Roman" w:eastAsia="仿宋"/>
          <w:snapToGrid w:val="0"/>
          <w:sz w:val="32"/>
          <w:szCs w:val="32"/>
        </w:rPr>
        <w:t>设置</w:t>
      </w:r>
      <w:r>
        <w:rPr>
          <w:rFonts w:hint="eastAsia" w:ascii="Times New Roman" w:hAnsi="Times New Roman" w:eastAsia="仿宋"/>
          <w:snapToGrid w:val="0"/>
          <w:sz w:val="32"/>
          <w:szCs w:val="32"/>
        </w:rPr>
        <w:t>信息披露评级和行政监管处罚两个</w:t>
      </w:r>
      <w:r>
        <w:rPr>
          <w:rFonts w:ascii="Times New Roman" w:hAnsi="Times New Roman" w:eastAsia="仿宋"/>
          <w:snapToGrid w:val="0"/>
          <w:sz w:val="32"/>
          <w:szCs w:val="32"/>
        </w:rPr>
        <w:t>指标。</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w:t>
      </w:r>
      <w:r>
        <w:rPr>
          <w:rFonts w:hint="eastAsia" w:ascii="Times New Roman" w:hAnsi="Times New Roman" w:eastAsia="仿宋"/>
          <w:b/>
          <w:snapToGrid w:val="0"/>
          <w:sz w:val="32"/>
          <w:szCs w:val="32"/>
        </w:rPr>
        <w:t>八</w:t>
      </w:r>
      <w:r>
        <w:rPr>
          <w:rFonts w:ascii="Times New Roman" w:hAnsi="Times New Roman" w:eastAsia="仿宋"/>
          <w:b/>
          <w:snapToGrid w:val="0"/>
          <w:sz w:val="32"/>
          <w:szCs w:val="32"/>
        </w:rPr>
        <w:t>条</w:t>
      </w:r>
      <w:r>
        <w:rPr>
          <w:rFonts w:ascii="Times New Roman" w:hAnsi="Times New Roman" w:eastAsia="仿宋"/>
          <w:snapToGrid w:val="0"/>
          <w:sz w:val="32"/>
          <w:szCs w:val="32"/>
        </w:rPr>
        <w:t xml:space="preserve"> 保荐业务质量</w:t>
      </w:r>
      <w:r>
        <w:rPr>
          <w:rFonts w:hint="eastAsia" w:ascii="Times New Roman" w:hAnsi="Times New Roman" w:eastAsia="仿宋"/>
          <w:snapToGrid w:val="0"/>
          <w:sz w:val="32"/>
          <w:szCs w:val="32"/>
        </w:rPr>
        <w:t>衡量</w:t>
      </w:r>
      <w:r>
        <w:rPr>
          <w:rFonts w:ascii="Times New Roman" w:hAnsi="Times New Roman" w:eastAsia="仿宋"/>
          <w:snapToGrid w:val="0"/>
          <w:sz w:val="32"/>
          <w:szCs w:val="32"/>
        </w:rPr>
        <w:t>保荐机构开展</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保荐业务</w:t>
      </w:r>
      <w:r>
        <w:rPr>
          <w:rFonts w:hint="eastAsia" w:ascii="Times New Roman" w:hAnsi="Times New Roman" w:eastAsia="仿宋"/>
          <w:snapToGrid w:val="0"/>
          <w:sz w:val="32"/>
          <w:szCs w:val="32"/>
        </w:rPr>
        <w:t>的执业质量，下设保荐业务评价</w:t>
      </w:r>
      <w:r>
        <w:rPr>
          <w:rFonts w:ascii="Times New Roman" w:hAnsi="Times New Roman" w:eastAsia="仿宋"/>
          <w:snapToGrid w:val="0"/>
          <w:sz w:val="32"/>
          <w:szCs w:val="32"/>
        </w:rPr>
        <w:t>一个指标。</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指标具体构成</w:t>
      </w:r>
      <w:r>
        <w:rPr>
          <w:rFonts w:hint="eastAsia" w:ascii="Times New Roman" w:hAnsi="Times New Roman" w:eastAsia="仿宋"/>
          <w:snapToGrid w:val="0"/>
          <w:sz w:val="32"/>
          <w:szCs w:val="32"/>
        </w:rPr>
        <w:t>按照北交所、</w:t>
      </w:r>
      <w:r>
        <w:rPr>
          <w:rFonts w:ascii="Times New Roman" w:hAnsi="Times New Roman" w:eastAsia="仿宋"/>
          <w:snapToGrid w:val="0"/>
          <w:sz w:val="32"/>
          <w:szCs w:val="32"/>
        </w:rPr>
        <w:t>全国</w:t>
      </w:r>
      <w:r>
        <w:rPr>
          <w:rFonts w:hint="eastAsia" w:ascii="Times New Roman" w:hAnsi="Times New Roman" w:eastAsia="仿宋"/>
          <w:snapToGrid w:val="0"/>
          <w:sz w:val="32"/>
          <w:szCs w:val="32"/>
        </w:rPr>
        <w:t>中小企业股份转让</w:t>
      </w:r>
      <w:r>
        <w:rPr>
          <w:rFonts w:ascii="Times New Roman" w:hAnsi="Times New Roman" w:eastAsia="仿宋"/>
          <w:snapToGrid w:val="0"/>
          <w:sz w:val="32"/>
          <w:szCs w:val="32"/>
        </w:rPr>
        <w:t>系统</w:t>
      </w:r>
      <w:r>
        <w:rPr>
          <w:rFonts w:hint="eastAsia" w:ascii="Times New Roman" w:hAnsi="Times New Roman" w:eastAsia="仿宋"/>
          <w:snapToGrid w:val="0"/>
          <w:sz w:val="32"/>
          <w:szCs w:val="32"/>
        </w:rPr>
        <w:t>有限责任公司（以下</w:t>
      </w:r>
      <w:r>
        <w:rPr>
          <w:rFonts w:ascii="Times New Roman" w:hAnsi="Times New Roman" w:eastAsia="仿宋"/>
          <w:snapToGrid w:val="0"/>
          <w:sz w:val="32"/>
          <w:szCs w:val="32"/>
        </w:rPr>
        <w:t>简称全国股转公司</w:t>
      </w:r>
      <w:r>
        <w:rPr>
          <w:rFonts w:hint="eastAsia" w:ascii="Times New Roman" w:hAnsi="Times New Roman" w:eastAsia="仿宋"/>
          <w:snapToGrid w:val="0"/>
          <w:sz w:val="32"/>
          <w:szCs w:val="32"/>
        </w:rPr>
        <w:t>）发布的证券公司执业质量评价相关规定中保荐业务执业质量评价指标执行。</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w:t>
      </w:r>
      <w:r>
        <w:rPr>
          <w:rFonts w:hint="eastAsia" w:ascii="Times New Roman" w:hAnsi="Times New Roman" w:eastAsia="仿宋"/>
          <w:b/>
          <w:snapToGrid w:val="0"/>
          <w:sz w:val="32"/>
          <w:szCs w:val="32"/>
        </w:rPr>
        <w:t>九</w:t>
      </w:r>
      <w:r>
        <w:rPr>
          <w:rFonts w:ascii="Times New Roman" w:hAnsi="Times New Roman" w:eastAsia="仿宋"/>
          <w:b/>
          <w:snapToGrid w:val="0"/>
          <w:sz w:val="32"/>
          <w:szCs w:val="32"/>
        </w:rPr>
        <w:t>条</w:t>
      </w:r>
      <w:r>
        <w:rPr>
          <w:rFonts w:hint="eastAsia" w:ascii="Times New Roman" w:hAnsi="Times New Roman" w:eastAsia="仿宋"/>
          <w:b/>
          <w:snapToGrid w:val="0"/>
          <w:sz w:val="32"/>
          <w:szCs w:val="32"/>
        </w:rPr>
        <w:t xml:space="preserve"> </w:t>
      </w:r>
      <w:r>
        <w:rPr>
          <w:rFonts w:ascii="Times New Roman" w:hAnsi="Times New Roman" w:eastAsia="仿宋"/>
          <w:snapToGrid w:val="0"/>
          <w:sz w:val="32"/>
          <w:szCs w:val="32"/>
        </w:rPr>
        <w:t>评价得分调整主要衡量保荐机构执业规模和执业风险，对评价得分作出调整。</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评价得分调整包括规模调整、风险调整及降档调整三部分。规模调整下设保荐项目数量一个指标；风险调整下设风险警示公司占比、强制退市公司占比两个指标；降档调整下设重大执业质量问题一个指标。</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评价指标的具体内容见附件2。</w:t>
      </w:r>
    </w:p>
    <w:p>
      <w:pPr>
        <w:overflowPunct w:val="0"/>
        <w:adjustRightInd w:val="0"/>
        <w:snapToGrid w:val="0"/>
        <w:spacing w:before="240" w:after="240" w:line="600" w:lineRule="exact"/>
        <w:jc w:val="center"/>
        <w:rPr>
          <w:rFonts w:ascii="Times New Roman" w:hAnsi="Times New Roman" w:eastAsia="黑体"/>
          <w:snapToGrid w:val="0"/>
          <w:sz w:val="32"/>
        </w:rPr>
      </w:pPr>
      <w:r>
        <w:rPr>
          <w:rFonts w:ascii="Times New Roman" w:hAnsi="Times New Roman" w:eastAsia="黑体"/>
          <w:snapToGrid w:val="0"/>
          <w:sz w:val="32"/>
        </w:rPr>
        <w:t>第三章</w:t>
      </w:r>
      <w:r>
        <w:rPr>
          <w:rFonts w:ascii="Times New Roman" w:hAnsi="Times New Roman" w:eastAsia="黑体"/>
          <w:snapToGrid w:val="0"/>
          <w:sz w:val="32"/>
        </w:rPr>
        <w:tab/>
      </w:r>
      <w:r>
        <w:rPr>
          <w:rFonts w:ascii="Times New Roman" w:hAnsi="Times New Roman" w:eastAsia="黑体"/>
          <w:snapToGrid w:val="0"/>
          <w:sz w:val="32"/>
        </w:rPr>
        <w:t>评价方法与程序</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 xml:space="preserve">第十条 </w:t>
      </w:r>
      <w:r>
        <w:rPr>
          <w:rFonts w:ascii="Times New Roman" w:hAnsi="Times New Roman" w:eastAsia="仿宋"/>
          <w:snapToGrid w:val="0"/>
          <w:sz w:val="32"/>
          <w:szCs w:val="32"/>
        </w:rPr>
        <w:t>与上市公司质量相关的指标，以公司上市后三个完整会计年度的表现作为赋值基础</w:t>
      </w:r>
      <w:r>
        <w:rPr>
          <w:rFonts w:hint="eastAsia" w:ascii="Times New Roman" w:hAnsi="Times New Roman" w:eastAsia="仿宋"/>
          <w:snapToGrid w:val="0"/>
          <w:sz w:val="32"/>
          <w:szCs w:val="32"/>
        </w:rPr>
        <w:t>，每</w:t>
      </w:r>
      <w:r>
        <w:rPr>
          <w:rFonts w:ascii="Times New Roman" w:hAnsi="Times New Roman" w:eastAsia="仿宋"/>
          <w:snapToGrid w:val="0"/>
          <w:sz w:val="32"/>
          <w:szCs w:val="32"/>
        </w:rPr>
        <w:t>个会计年度的表现占比</w:t>
      </w:r>
      <w:r>
        <w:rPr>
          <w:rFonts w:hint="eastAsia" w:ascii="Times New Roman" w:hAnsi="Times New Roman" w:eastAsia="仿宋"/>
          <w:snapToGrid w:val="0"/>
          <w:sz w:val="32"/>
          <w:szCs w:val="32"/>
        </w:rPr>
        <w:t>均为</w:t>
      </w:r>
      <w:r>
        <w:rPr>
          <w:rFonts w:ascii="Times New Roman" w:hAnsi="Times New Roman" w:eastAsia="仿宋"/>
          <w:snapToGrid w:val="0"/>
          <w:sz w:val="32"/>
          <w:szCs w:val="32"/>
        </w:rPr>
        <w:t>1/3</w:t>
      </w:r>
      <w:r>
        <w:rPr>
          <w:rFonts w:hint="eastAsia" w:ascii="Times New Roman" w:hAnsi="Times New Roman" w:eastAsia="仿宋"/>
          <w:snapToGrid w:val="0"/>
          <w:sz w:val="32"/>
          <w:szCs w:val="32"/>
        </w:rPr>
        <w:t>。</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在计算时，</w:t>
      </w:r>
      <w:r>
        <w:rPr>
          <w:rFonts w:hint="eastAsia" w:ascii="Times New Roman" w:hAnsi="Times New Roman" w:eastAsia="仿宋"/>
          <w:snapToGrid w:val="0"/>
          <w:sz w:val="32"/>
          <w:szCs w:val="32"/>
        </w:rPr>
        <w:t>业绩下滑调整指标按实际得分赋值，纳入市场指数情况指标</w:t>
      </w:r>
      <w:r>
        <w:rPr>
          <w:rFonts w:ascii="Times New Roman" w:hAnsi="Times New Roman" w:eastAsia="仿宋"/>
          <w:snapToGrid w:val="0"/>
          <w:sz w:val="32"/>
          <w:szCs w:val="32"/>
        </w:rPr>
        <w:t>根据公司</w:t>
      </w:r>
      <w:r>
        <w:rPr>
          <w:rFonts w:hint="eastAsia" w:ascii="Times New Roman" w:hAnsi="Times New Roman" w:eastAsia="仿宋"/>
          <w:snapToGrid w:val="0"/>
          <w:sz w:val="32"/>
          <w:szCs w:val="32"/>
        </w:rPr>
        <w:t>是否持续</w:t>
      </w:r>
      <w:r>
        <w:rPr>
          <w:rFonts w:ascii="Times New Roman" w:hAnsi="Times New Roman" w:eastAsia="仿宋"/>
          <w:snapToGrid w:val="0"/>
          <w:sz w:val="32"/>
          <w:szCs w:val="32"/>
        </w:rPr>
        <w:t>纳入</w:t>
      </w:r>
      <w:r>
        <w:rPr>
          <w:rFonts w:hint="eastAsia" w:ascii="Times New Roman" w:hAnsi="Times New Roman" w:eastAsia="仿宋"/>
          <w:snapToGrid w:val="0"/>
          <w:sz w:val="32"/>
          <w:szCs w:val="32"/>
        </w:rPr>
        <w:t>北证50等北交所</w:t>
      </w:r>
      <w:r>
        <w:rPr>
          <w:rFonts w:ascii="Times New Roman" w:hAnsi="Times New Roman" w:eastAsia="仿宋"/>
          <w:snapToGrid w:val="0"/>
          <w:sz w:val="32"/>
          <w:szCs w:val="32"/>
        </w:rPr>
        <w:t>指数</w:t>
      </w:r>
      <w:r>
        <w:rPr>
          <w:rFonts w:hint="eastAsia" w:ascii="Times New Roman" w:hAnsi="Times New Roman" w:eastAsia="仿宋"/>
          <w:snapToGrid w:val="0"/>
          <w:sz w:val="32"/>
          <w:szCs w:val="32"/>
        </w:rPr>
        <w:t>情况</w:t>
      </w:r>
      <w:r>
        <w:rPr>
          <w:rFonts w:ascii="Times New Roman" w:hAnsi="Times New Roman" w:eastAsia="仿宋"/>
          <w:snapToGrid w:val="0"/>
          <w:sz w:val="32"/>
          <w:szCs w:val="32"/>
        </w:rPr>
        <w:t>赋值</w:t>
      </w:r>
      <w:r>
        <w:rPr>
          <w:rFonts w:hint="eastAsia" w:ascii="Times New Roman" w:hAnsi="Times New Roman" w:eastAsia="仿宋"/>
          <w:snapToGrid w:val="0"/>
          <w:sz w:val="32"/>
          <w:szCs w:val="32"/>
        </w:rPr>
        <w:t>，</w:t>
      </w:r>
      <w:r>
        <w:rPr>
          <w:rFonts w:ascii="Times New Roman" w:hAnsi="Times New Roman" w:eastAsia="仿宋"/>
          <w:snapToGrid w:val="0"/>
          <w:sz w:val="32"/>
          <w:szCs w:val="32"/>
        </w:rPr>
        <w:t>其他指标根据指标在</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上市公司中的排序</w:t>
      </w:r>
      <w:r>
        <w:rPr>
          <w:rFonts w:hint="eastAsia" w:ascii="Times New Roman" w:hAnsi="Times New Roman" w:eastAsia="仿宋"/>
          <w:snapToGrid w:val="0"/>
          <w:sz w:val="32"/>
          <w:szCs w:val="32"/>
        </w:rPr>
        <w:t>，按</w:t>
      </w:r>
      <w:r>
        <w:rPr>
          <w:rFonts w:ascii="Times New Roman" w:hAnsi="Times New Roman" w:eastAsia="仿宋"/>
          <w:snapToGrid w:val="0"/>
          <w:sz w:val="32"/>
          <w:szCs w:val="32"/>
        </w:rPr>
        <w:t>相对值赋值。将各指标赋值按权重加总，并结合业绩下滑扣分进行调整</w:t>
      </w:r>
      <w:r>
        <w:rPr>
          <w:rFonts w:hint="eastAsia" w:ascii="Times New Roman" w:hAnsi="Times New Roman" w:eastAsia="仿宋"/>
          <w:snapToGrid w:val="0"/>
          <w:sz w:val="32"/>
          <w:szCs w:val="32"/>
        </w:rPr>
        <w:t>，</w:t>
      </w:r>
      <w:r>
        <w:rPr>
          <w:rFonts w:ascii="Times New Roman" w:hAnsi="Times New Roman" w:eastAsia="仿宋"/>
          <w:snapToGrid w:val="0"/>
          <w:sz w:val="32"/>
          <w:szCs w:val="32"/>
        </w:rPr>
        <w:t>得到单个上市公司单年质量得分。将单个上市公司单年质量</w:t>
      </w:r>
      <w:r>
        <w:rPr>
          <w:rFonts w:hint="eastAsia" w:ascii="Times New Roman" w:hAnsi="Times New Roman" w:eastAsia="仿宋"/>
          <w:snapToGrid w:val="0"/>
          <w:sz w:val="32"/>
          <w:szCs w:val="32"/>
        </w:rPr>
        <w:t>得分根据纳入</w:t>
      </w:r>
      <w:r>
        <w:rPr>
          <w:rFonts w:ascii="Times New Roman" w:hAnsi="Times New Roman" w:eastAsia="仿宋"/>
          <w:snapToGrid w:val="0"/>
          <w:sz w:val="32"/>
          <w:szCs w:val="32"/>
        </w:rPr>
        <w:t>评价</w:t>
      </w:r>
      <w:r>
        <w:rPr>
          <w:rFonts w:hint="eastAsia" w:ascii="Times New Roman" w:hAnsi="Times New Roman" w:eastAsia="仿宋"/>
          <w:snapToGrid w:val="0"/>
          <w:sz w:val="32"/>
          <w:szCs w:val="32"/>
        </w:rPr>
        <w:t>周期</w:t>
      </w:r>
      <w:r>
        <w:rPr>
          <w:rFonts w:ascii="Times New Roman" w:hAnsi="Times New Roman" w:eastAsia="仿宋"/>
          <w:snapToGrid w:val="0"/>
          <w:sz w:val="32"/>
          <w:szCs w:val="32"/>
        </w:rPr>
        <w:t>的</w:t>
      </w:r>
      <w:r>
        <w:rPr>
          <w:rFonts w:hint="eastAsia" w:ascii="Times New Roman" w:hAnsi="Times New Roman" w:eastAsia="仿宋"/>
          <w:snapToGrid w:val="0"/>
          <w:sz w:val="32"/>
          <w:szCs w:val="32"/>
        </w:rPr>
        <w:t>会计</w:t>
      </w:r>
      <w:r>
        <w:rPr>
          <w:rFonts w:ascii="Times New Roman" w:hAnsi="Times New Roman" w:eastAsia="仿宋"/>
          <w:snapToGrid w:val="0"/>
          <w:sz w:val="32"/>
          <w:szCs w:val="32"/>
        </w:rPr>
        <w:t>年度</w:t>
      </w:r>
      <w:r>
        <w:rPr>
          <w:rFonts w:hint="eastAsia" w:ascii="Times New Roman" w:hAnsi="Times New Roman" w:eastAsia="仿宋"/>
          <w:snapToGrid w:val="0"/>
          <w:sz w:val="32"/>
          <w:szCs w:val="32"/>
        </w:rPr>
        <w:t>情况按照权重加总，得到</w:t>
      </w:r>
      <w:r>
        <w:rPr>
          <w:rFonts w:ascii="Times New Roman" w:hAnsi="Times New Roman" w:eastAsia="仿宋"/>
          <w:snapToGrid w:val="0"/>
          <w:sz w:val="32"/>
          <w:szCs w:val="32"/>
        </w:rPr>
        <w:t>单个</w:t>
      </w:r>
      <w:r>
        <w:rPr>
          <w:rFonts w:hint="eastAsia" w:ascii="Times New Roman" w:hAnsi="Times New Roman" w:eastAsia="仿宋"/>
          <w:snapToGrid w:val="0"/>
          <w:sz w:val="32"/>
          <w:szCs w:val="32"/>
        </w:rPr>
        <w:t>上市公司最终质量</w:t>
      </w:r>
      <w:r>
        <w:rPr>
          <w:rFonts w:ascii="Times New Roman" w:hAnsi="Times New Roman" w:eastAsia="仿宋"/>
          <w:snapToGrid w:val="0"/>
          <w:sz w:val="32"/>
          <w:szCs w:val="32"/>
        </w:rPr>
        <w:t>得分。该保荐机构纳入评价范围的所有上市公司的最终质量得分均值，即为该保荐机构的上市公司质量得分。</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第十</w:t>
      </w:r>
      <w:r>
        <w:rPr>
          <w:rFonts w:hint="eastAsia" w:ascii="Times New Roman" w:hAnsi="Times New Roman" w:eastAsia="仿宋"/>
          <w:b/>
          <w:snapToGrid w:val="0"/>
          <w:sz w:val="32"/>
          <w:szCs w:val="32"/>
        </w:rPr>
        <w:t>一</w:t>
      </w:r>
      <w:r>
        <w:rPr>
          <w:rFonts w:ascii="Times New Roman" w:hAnsi="Times New Roman" w:eastAsia="仿宋"/>
          <w:b/>
          <w:snapToGrid w:val="0"/>
          <w:sz w:val="32"/>
          <w:szCs w:val="32"/>
        </w:rPr>
        <w:t>条</w:t>
      </w:r>
      <w:r>
        <w:rPr>
          <w:rFonts w:hint="eastAsia" w:ascii="Times New Roman" w:hAnsi="Times New Roman" w:eastAsia="仿宋"/>
          <w:b/>
          <w:snapToGrid w:val="0"/>
          <w:sz w:val="32"/>
          <w:szCs w:val="32"/>
        </w:rPr>
        <w:t xml:space="preserve"> </w:t>
      </w:r>
      <w:r>
        <w:rPr>
          <w:rFonts w:ascii="Times New Roman" w:hAnsi="Times New Roman" w:eastAsia="仿宋"/>
          <w:snapToGrid w:val="0"/>
          <w:sz w:val="32"/>
          <w:szCs w:val="32"/>
        </w:rPr>
        <w:t>与保荐业务质量相关的指标，按照</w:t>
      </w:r>
      <w:r>
        <w:rPr>
          <w:rFonts w:hint="eastAsia" w:ascii="Times New Roman" w:hAnsi="Times New Roman" w:eastAsia="仿宋"/>
          <w:snapToGrid w:val="0"/>
          <w:sz w:val="32"/>
          <w:szCs w:val="32"/>
        </w:rPr>
        <w:t>北交所、全国股转公司发布的证券公司执业质量评价相关规定中保荐业务执业质量评价指标执行。评价得分由专业质量得分与合规质量扣分加总后折算得出。</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第十</w:t>
      </w:r>
      <w:r>
        <w:rPr>
          <w:rFonts w:hint="eastAsia" w:ascii="Times New Roman" w:hAnsi="Times New Roman" w:eastAsia="仿宋"/>
          <w:b/>
          <w:snapToGrid w:val="0"/>
          <w:sz w:val="32"/>
          <w:szCs w:val="32"/>
        </w:rPr>
        <w:t>二</w:t>
      </w:r>
      <w:r>
        <w:rPr>
          <w:rFonts w:ascii="Times New Roman" w:hAnsi="Times New Roman" w:eastAsia="仿宋"/>
          <w:b/>
          <w:snapToGrid w:val="0"/>
          <w:sz w:val="32"/>
          <w:szCs w:val="32"/>
        </w:rPr>
        <w:t>条</w:t>
      </w:r>
      <w:r>
        <w:rPr>
          <w:rFonts w:hint="eastAsia" w:ascii="Times New Roman" w:hAnsi="Times New Roman" w:eastAsia="仿宋"/>
          <w:b/>
          <w:snapToGrid w:val="0"/>
          <w:sz w:val="32"/>
          <w:szCs w:val="32"/>
        </w:rPr>
        <w:t xml:space="preserve"> </w:t>
      </w:r>
      <w:r>
        <w:rPr>
          <w:rFonts w:ascii="Times New Roman" w:hAnsi="Times New Roman" w:eastAsia="仿宋"/>
          <w:snapToGrid w:val="0"/>
          <w:sz w:val="32"/>
          <w:szCs w:val="32"/>
        </w:rPr>
        <w:t>与评价得分调整有关的指标，如保荐项目数量、</w:t>
      </w:r>
      <w:r>
        <w:rPr>
          <w:rFonts w:hint="eastAsia" w:ascii="Times New Roman" w:hAnsi="Times New Roman" w:eastAsia="仿宋"/>
          <w:snapToGrid w:val="0"/>
          <w:sz w:val="32"/>
          <w:szCs w:val="32"/>
        </w:rPr>
        <w:t>风险警示公司占比、</w:t>
      </w:r>
      <w:r>
        <w:rPr>
          <w:rFonts w:ascii="Times New Roman" w:hAnsi="Times New Roman" w:eastAsia="仿宋"/>
          <w:snapToGrid w:val="0"/>
          <w:sz w:val="32"/>
          <w:szCs w:val="32"/>
        </w:rPr>
        <w:t>强制退市公司占比，根据实际发生值进行赋值；重大执业质量问题指标根据保荐机构已保荐的公司是否涉及欺诈发行，或已保荐的公司上市三年内是否涉及重大财务造假等重大违法行为</w:t>
      </w:r>
      <w:r>
        <w:rPr>
          <w:rFonts w:hint="eastAsia" w:ascii="Times New Roman" w:hAnsi="Times New Roman" w:eastAsia="仿宋"/>
          <w:snapToGrid w:val="0"/>
          <w:sz w:val="32"/>
          <w:szCs w:val="32"/>
        </w:rPr>
        <w:t>进行赋值</w:t>
      </w:r>
      <w:r>
        <w:rPr>
          <w:rFonts w:ascii="Times New Roman" w:hAnsi="Times New Roman" w:eastAsia="仿宋"/>
          <w:snapToGrid w:val="0"/>
          <w:sz w:val="32"/>
          <w:szCs w:val="32"/>
        </w:rPr>
        <w:t>，</w:t>
      </w:r>
      <w:r>
        <w:rPr>
          <w:rFonts w:hint="eastAsia" w:ascii="Times New Roman" w:hAnsi="Times New Roman" w:eastAsia="仿宋"/>
          <w:snapToGrid w:val="0"/>
          <w:sz w:val="32"/>
          <w:szCs w:val="32"/>
        </w:rPr>
        <w:t>并</w:t>
      </w:r>
      <w:r>
        <w:rPr>
          <w:rFonts w:ascii="Times New Roman" w:hAnsi="Times New Roman" w:eastAsia="仿宋"/>
          <w:snapToGrid w:val="0"/>
          <w:sz w:val="32"/>
          <w:szCs w:val="32"/>
        </w:rPr>
        <w:t>在保荐机构被</w:t>
      </w:r>
      <w:r>
        <w:rPr>
          <w:rFonts w:hint="eastAsia" w:ascii="Times New Roman" w:hAnsi="Times New Roman" w:eastAsia="仿宋"/>
          <w:snapToGrid w:val="0"/>
          <w:sz w:val="32"/>
          <w:szCs w:val="32"/>
        </w:rPr>
        <w:t>立案</w:t>
      </w:r>
      <w:r>
        <w:rPr>
          <w:rFonts w:ascii="Times New Roman" w:hAnsi="Times New Roman" w:eastAsia="仿宋"/>
          <w:snapToGrid w:val="0"/>
          <w:sz w:val="32"/>
          <w:szCs w:val="32"/>
        </w:rPr>
        <w:t>年度的评价中对保荐机构进行</w:t>
      </w:r>
      <w:r>
        <w:rPr>
          <w:rFonts w:hint="eastAsia" w:ascii="Times New Roman" w:hAnsi="Times New Roman" w:eastAsia="仿宋"/>
          <w:snapToGrid w:val="0"/>
          <w:sz w:val="32"/>
          <w:szCs w:val="32"/>
        </w:rPr>
        <w:t>扣分处理</w:t>
      </w:r>
      <w:r>
        <w:rPr>
          <w:rFonts w:ascii="Times New Roman" w:hAnsi="Times New Roman" w:eastAsia="仿宋"/>
          <w:snapToGrid w:val="0"/>
          <w:sz w:val="32"/>
          <w:szCs w:val="32"/>
        </w:rPr>
        <w:t>。</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第十</w:t>
      </w:r>
      <w:r>
        <w:rPr>
          <w:rFonts w:hint="eastAsia" w:ascii="Times New Roman" w:hAnsi="Times New Roman" w:eastAsia="仿宋"/>
          <w:b/>
          <w:snapToGrid w:val="0"/>
          <w:sz w:val="32"/>
          <w:szCs w:val="32"/>
        </w:rPr>
        <w:t>三</w:t>
      </w:r>
      <w:r>
        <w:rPr>
          <w:rFonts w:ascii="Times New Roman" w:hAnsi="Times New Roman" w:eastAsia="仿宋"/>
          <w:b/>
          <w:snapToGrid w:val="0"/>
          <w:sz w:val="32"/>
          <w:szCs w:val="32"/>
        </w:rPr>
        <w:t>条</w:t>
      </w:r>
      <w:r>
        <w:rPr>
          <w:rFonts w:hint="eastAsia" w:ascii="Times New Roman" w:hAnsi="Times New Roman" w:eastAsia="仿宋"/>
          <w:b/>
          <w:snapToGrid w:val="0"/>
          <w:sz w:val="32"/>
          <w:szCs w:val="32"/>
        </w:rPr>
        <w:t xml:space="preserve"> </w:t>
      </w:r>
      <w:r>
        <w:rPr>
          <w:rFonts w:ascii="Times New Roman" w:hAnsi="Times New Roman" w:eastAsia="仿宋"/>
          <w:snapToGrid w:val="0"/>
          <w:sz w:val="32"/>
          <w:szCs w:val="32"/>
        </w:rPr>
        <w:t>保荐机构执业质量最终得分，为其保荐的上市公司质量得分、保荐业务质量得分及评价得分调整分值的总和。</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各评价指标的赋值方式见附件2。</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各评价指标的计算方式见附件3。</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第十</w:t>
      </w:r>
      <w:r>
        <w:rPr>
          <w:rFonts w:hint="eastAsia" w:ascii="Times New Roman" w:hAnsi="Times New Roman" w:eastAsia="仿宋"/>
          <w:b/>
          <w:snapToGrid w:val="0"/>
          <w:sz w:val="32"/>
          <w:szCs w:val="32"/>
        </w:rPr>
        <w:t>四</w:t>
      </w:r>
      <w:r>
        <w:rPr>
          <w:rFonts w:ascii="Times New Roman" w:hAnsi="Times New Roman" w:eastAsia="仿宋"/>
          <w:b/>
          <w:snapToGrid w:val="0"/>
          <w:sz w:val="32"/>
          <w:szCs w:val="32"/>
        </w:rPr>
        <w:t>条</w:t>
      </w:r>
      <w:r>
        <w:rPr>
          <w:rFonts w:ascii="Times New Roman" w:hAnsi="Times New Roman" w:eastAsia="仿宋"/>
          <w:snapToGrid w:val="0"/>
          <w:sz w:val="32"/>
          <w:szCs w:val="32"/>
        </w:rPr>
        <w:t xml:space="preserve"> 指标因数据缺失等原因难以赋值时，其分值按相对权重向同一层级下其他指标分配。</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北交所上市公司公开发行并上市申报选择的标准如既不涉及营业收入</w:t>
      </w:r>
      <w:r>
        <w:rPr>
          <w:rFonts w:hint="eastAsia" w:ascii="Times New Roman" w:hAnsi="Times New Roman" w:eastAsia="仿宋"/>
          <w:snapToGrid w:val="0"/>
          <w:sz w:val="32"/>
          <w:szCs w:val="32"/>
        </w:rPr>
        <w:t>也</w:t>
      </w:r>
      <w:r>
        <w:rPr>
          <w:rFonts w:ascii="Times New Roman" w:hAnsi="Times New Roman" w:eastAsia="仿宋"/>
          <w:snapToGrid w:val="0"/>
          <w:sz w:val="32"/>
          <w:szCs w:val="32"/>
        </w:rPr>
        <w:t>不涉及净利润指标</w:t>
      </w:r>
      <w:r>
        <w:rPr>
          <w:rFonts w:hint="eastAsia" w:ascii="Times New Roman" w:hAnsi="Times New Roman" w:eastAsia="仿宋"/>
          <w:snapToGrid w:val="0"/>
          <w:sz w:val="32"/>
          <w:szCs w:val="32"/>
        </w:rPr>
        <w:t>，</w:t>
      </w:r>
      <w:r>
        <w:rPr>
          <w:rFonts w:ascii="Times New Roman" w:hAnsi="Times New Roman" w:eastAsia="仿宋"/>
          <w:snapToGrid w:val="0"/>
          <w:sz w:val="32"/>
          <w:szCs w:val="32"/>
        </w:rPr>
        <w:t>则与营业收入</w:t>
      </w:r>
      <w:r>
        <w:rPr>
          <w:rFonts w:hint="eastAsia" w:ascii="Times New Roman" w:hAnsi="Times New Roman" w:eastAsia="仿宋"/>
          <w:snapToGrid w:val="0"/>
          <w:sz w:val="32"/>
          <w:szCs w:val="32"/>
        </w:rPr>
        <w:t>和</w:t>
      </w:r>
      <w:r>
        <w:rPr>
          <w:rFonts w:ascii="Times New Roman" w:hAnsi="Times New Roman" w:eastAsia="仿宋"/>
          <w:snapToGrid w:val="0"/>
          <w:sz w:val="32"/>
          <w:szCs w:val="32"/>
        </w:rPr>
        <w:t>净利润相关的指标分值</w:t>
      </w:r>
      <w:r>
        <w:rPr>
          <w:rFonts w:hint="eastAsia" w:ascii="Times New Roman" w:hAnsi="Times New Roman" w:eastAsia="仿宋"/>
          <w:snapToGrid w:val="0"/>
          <w:sz w:val="32"/>
          <w:szCs w:val="32"/>
        </w:rPr>
        <w:t>，</w:t>
      </w:r>
      <w:r>
        <w:rPr>
          <w:rFonts w:ascii="Times New Roman" w:hAnsi="Times New Roman" w:eastAsia="仿宋"/>
          <w:snapToGrid w:val="0"/>
          <w:sz w:val="32"/>
          <w:szCs w:val="32"/>
        </w:rPr>
        <w:t>按相对权重向同一层级下其他指标分配</w:t>
      </w:r>
      <w:r>
        <w:rPr>
          <w:rFonts w:hint="eastAsia" w:ascii="Times New Roman" w:hAnsi="Times New Roman" w:eastAsia="仿宋"/>
          <w:snapToGrid w:val="0"/>
          <w:sz w:val="32"/>
          <w:szCs w:val="32"/>
        </w:rPr>
        <w:t>。</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hint="eastAsia" w:ascii="Times New Roman" w:hAnsi="Times New Roman" w:eastAsia="仿宋"/>
          <w:snapToGrid w:val="0"/>
          <w:sz w:val="32"/>
          <w:szCs w:val="32"/>
        </w:rPr>
        <w:t>同一事项</w:t>
      </w:r>
      <w:r>
        <w:rPr>
          <w:rFonts w:ascii="Times New Roman" w:hAnsi="Times New Roman" w:eastAsia="仿宋"/>
          <w:snapToGrid w:val="0"/>
          <w:sz w:val="32"/>
          <w:szCs w:val="32"/>
        </w:rPr>
        <w:t>在不同评价期间不重复</w:t>
      </w:r>
      <w:r>
        <w:rPr>
          <w:rFonts w:hint="eastAsia" w:ascii="Times New Roman" w:hAnsi="Times New Roman" w:eastAsia="仿宋"/>
          <w:snapToGrid w:val="0"/>
          <w:sz w:val="32"/>
          <w:szCs w:val="32"/>
        </w:rPr>
        <w:t>计分</w:t>
      </w:r>
      <w:r>
        <w:rPr>
          <w:rFonts w:ascii="Times New Roman" w:hAnsi="Times New Roman" w:eastAsia="仿宋"/>
          <w:snapToGrid w:val="0"/>
          <w:sz w:val="32"/>
          <w:szCs w:val="32"/>
        </w:rPr>
        <w:t>。</w:t>
      </w:r>
    </w:p>
    <w:p>
      <w:pPr>
        <w:overflowPunct w:val="0"/>
        <w:adjustRightInd w:val="0"/>
        <w:snapToGrid w:val="0"/>
        <w:spacing w:before="240" w:after="240" w:line="600" w:lineRule="exact"/>
        <w:jc w:val="center"/>
        <w:rPr>
          <w:rFonts w:ascii="Times New Roman" w:hAnsi="Times New Roman" w:eastAsia="黑体"/>
          <w:snapToGrid w:val="0"/>
          <w:sz w:val="32"/>
        </w:rPr>
      </w:pPr>
      <w:r>
        <w:rPr>
          <w:rFonts w:ascii="Times New Roman" w:hAnsi="Times New Roman" w:eastAsia="黑体"/>
          <w:snapToGrid w:val="0"/>
          <w:sz w:val="32"/>
        </w:rPr>
        <w:t>第四章</w:t>
      </w:r>
      <w:r>
        <w:rPr>
          <w:rFonts w:ascii="Times New Roman" w:hAnsi="Times New Roman" w:eastAsia="黑体"/>
          <w:snapToGrid w:val="0"/>
          <w:sz w:val="32"/>
        </w:rPr>
        <w:tab/>
      </w:r>
      <w:r>
        <w:rPr>
          <w:rFonts w:ascii="Times New Roman" w:hAnsi="Times New Roman" w:eastAsia="黑体"/>
          <w:snapToGrid w:val="0"/>
          <w:sz w:val="32"/>
        </w:rPr>
        <w:t>评价结果与运用</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第十</w:t>
      </w:r>
      <w:r>
        <w:rPr>
          <w:rFonts w:hint="eastAsia" w:ascii="Times New Roman" w:hAnsi="Times New Roman" w:eastAsia="仿宋"/>
          <w:b/>
          <w:snapToGrid w:val="0"/>
          <w:sz w:val="32"/>
          <w:szCs w:val="32"/>
        </w:rPr>
        <w:t>五</w:t>
      </w:r>
      <w:r>
        <w:rPr>
          <w:rFonts w:ascii="Times New Roman" w:hAnsi="Times New Roman" w:eastAsia="仿宋"/>
          <w:b/>
          <w:snapToGrid w:val="0"/>
          <w:sz w:val="32"/>
          <w:szCs w:val="32"/>
        </w:rPr>
        <w:t>条</w:t>
      </w:r>
      <w:r>
        <w:rPr>
          <w:rFonts w:ascii="Times New Roman" w:hAnsi="Times New Roman" w:eastAsia="仿宋"/>
          <w:snapToGrid w:val="0"/>
          <w:sz w:val="32"/>
          <w:szCs w:val="32"/>
        </w:rPr>
        <w:t xml:space="preserve"> 参与评价的保荐机构的保荐业务执业质量划分为A类、B类、C类三个等级。执业质量得分排序前20%的为A类，后20%的为C类，其余为B类。</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保荐机构在评价年度内没有符合本指引第四条规定的评价内容的，不参与评价，统一确定为N类。</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hint="eastAsia" w:ascii="Times New Roman" w:hAnsi="Times New Roman" w:eastAsia="仿宋"/>
          <w:snapToGrid w:val="0"/>
          <w:sz w:val="32"/>
          <w:szCs w:val="32"/>
          <w:lang w:val="en"/>
        </w:rPr>
        <w:t>评价结果为</w:t>
      </w:r>
      <w:r>
        <w:rPr>
          <w:rFonts w:hint="eastAsia" w:ascii="Times New Roman" w:hAnsi="Times New Roman" w:eastAsia="仿宋"/>
          <w:snapToGrid w:val="0"/>
          <w:sz w:val="32"/>
          <w:szCs w:val="32"/>
        </w:rPr>
        <w:t>A类的保荐机构，原则上评价年度纳入上市公司质量评价范围的保荐上市项目数量不低于2家。</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第十</w:t>
      </w:r>
      <w:r>
        <w:rPr>
          <w:rFonts w:hint="eastAsia" w:ascii="Times New Roman" w:hAnsi="Times New Roman" w:eastAsia="仿宋"/>
          <w:b/>
          <w:snapToGrid w:val="0"/>
          <w:sz w:val="32"/>
          <w:szCs w:val="32"/>
        </w:rPr>
        <w:t>六</w:t>
      </w:r>
      <w:r>
        <w:rPr>
          <w:rFonts w:ascii="Times New Roman" w:hAnsi="Times New Roman" w:eastAsia="仿宋"/>
          <w:b/>
          <w:snapToGrid w:val="0"/>
          <w:sz w:val="32"/>
          <w:szCs w:val="32"/>
        </w:rPr>
        <w:t>条</w:t>
      </w:r>
      <w:r>
        <w:rPr>
          <w:rFonts w:ascii="Times New Roman" w:hAnsi="Times New Roman" w:eastAsia="仿宋"/>
          <w:snapToGrid w:val="0"/>
          <w:sz w:val="32"/>
          <w:szCs w:val="32"/>
        </w:rPr>
        <w:t xml:space="preserve"> 评价年度保荐机构因重大执业质量问题被</w:t>
      </w:r>
      <w:r>
        <w:rPr>
          <w:rFonts w:hint="eastAsia" w:ascii="Times New Roman" w:hAnsi="Times New Roman" w:eastAsia="仿宋"/>
          <w:snapToGrid w:val="0"/>
          <w:sz w:val="32"/>
          <w:szCs w:val="32"/>
        </w:rPr>
        <w:t>立案</w:t>
      </w:r>
      <w:r>
        <w:rPr>
          <w:rFonts w:ascii="Times New Roman" w:hAnsi="Times New Roman" w:eastAsia="仿宋"/>
          <w:snapToGrid w:val="0"/>
          <w:sz w:val="32"/>
          <w:szCs w:val="32"/>
        </w:rPr>
        <w:t>的，评价结果应当为C类。经有关部门认定，保荐机构及其工作人员存在发行上市领域行贿行为的，该保荐机构当年评价结果应当为C类。</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w:t>
      </w:r>
      <w:r>
        <w:rPr>
          <w:rFonts w:hint="eastAsia" w:ascii="Times New Roman" w:hAnsi="Times New Roman" w:eastAsia="仿宋"/>
          <w:b/>
          <w:snapToGrid w:val="0"/>
          <w:sz w:val="32"/>
          <w:szCs w:val="32"/>
        </w:rPr>
        <w:t>十七</w:t>
      </w:r>
      <w:r>
        <w:rPr>
          <w:rFonts w:ascii="Times New Roman" w:hAnsi="Times New Roman" w:eastAsia="仿宋"/>
          <w:b/>
          <w:snapToGrid w:val="0"/>
          <w:sz w:val="32"/>
          <w:szCs w:val="32"/>
        </w:rPr>
        <w:t>条</w:t>
      </w:r>
      <w:r>
        <w:rPr>
          <w:rFonts w:ascii="Times New Roman" w:hAnsi="Times New Roman" w:eastAsia="仿宋"/>
          <w:snapToGrid w:val="0"/>
          <w:sz w:val="32"/>
          <w:szCs w:val="32"/>
        </w:rPr>
        <w:t xml:space="preserve"> 评价工作完成后，</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将及时向中国证监会报送评价结果，同时抄送中国证监会各派出机构，作为监管参考。</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w:t>
      </w:r>
      <w:r>
        <w:rPr>
          <w:rFonts w:hint="eastAsia" w:ascii="Times New Roman" w:hAnsi="Times New Roman" w:eastAsia="仿宋"/>
          <w:b/>
          <w:snapToGrid w:val="0"/>
          <w:sz w:val="32"/>
          <w:szCs w:val="32"/>
        </w:rPr>
        <w:t>十八</w:t>
      </w:r>
      <w:r>
        <w:rPr>
          <w:rFonts w:ascii="Times New Roman" w:hAnsi="Times New Roman" w:eastAsia="仿宋"/>
          <w:b/>
          <w:snapToGrid w:val="0"/>
          <w:sz w:val="32"/>
          <w:szCs w:val="32"/>
        </w:rPr>
        <w:t>条</w:t>
      </w:r>
      <w:r>
        <w:rPr>
          <w:rFonts w:ascii="Times New Roman" w:hAnsi="Times New Roman" w:eastAsia="仿宋"/>
          <w:snapToGrid w:val="0"/>
          <w:sz w:val="32"/>
          <w:szCs w:val="32"/>
        </w:rPr>
        <w:t xml:space="preserve"> </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根据评价结果，在下一年度评价结果发布前，对处于交易所审核阶段的相关</w:t>
      </w:r>
      <w:r>
        <w:rPr>
          <w:rFonts w:hint="eastAsia" w:ascii="Times New Roman" w:hAnsi="Times New Roman" w:eastAsia="仿宋"/>
          <w:snapToGrid w:val="0"/>
          <w:sz w:val="32"/>
          <w:szCs w:val="32"/>
        </w:rPr>
        <w:t>上市</w:t>
      </w:r>
      <w:r>
        <w:rPr>
          <w:rFonts w:ascii="Times New Roman" w:hAnsi="Times New Roman" w:eastAsia="仿宋"/>
          <w:snapToGrid w:val="0"/>
          <w:sz w:val="32"/>
          <w:szCs w:val="32"/>
        </w:rPr>
        <w:t>保荐项目实施分类监管安排。</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保荐机构评价结果为A类的，</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对其保荐项目降低非问题导向类现场督导比例。</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保荐机构评价结果为C类的，</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依照有关规定加大对其保荐项目的审核问询力度，同时加大非问题导向类现场督导比例。连续三次评价结果为C类的，原则上全部开展现场督导</w:t>
      </w:r>
      <w:r>
        <w:rPr>
          <w:rFonts w:hint="eastAsia" w:ascii="Times New Roman" w:hAnsi="Times New Roman" w:eastAsia="仿宋"/>
          <w:snapToGrid w:val="0"/>
          <w:sz w:val="32"/>
          <w:szCs w:val="32"/>
        </w:rPr>
        <w:t>并加大现场</w:t>
      </w:r>
      <w:r>
        <w:rPr>
          <w:rFonts w:ascii="Times New Roman" w:hAnsi="Times New Roman" w:eastAsia="仿宋"/>
          <w:snapToGrid w:val="0"/>
          <w:sz w:val="32"/>
          <w:szCs w:val="32"/>
        </w:rPr>
        <w:t>检查力度。</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w:t>
      </w:r>
      <w:r>
        <w:rPr>
          <w:rFonts w:hint="eastAsia" w:ascii="Times New Roman" w:hAnsi="Times New Roman" w:eastAsia="仿宋"/>
          <w:b/>
          <w:snapToGrid w:val="0"/>
          <w:sz w:val="32"/>
          <w:szCs w:val="32"/>
        </w:rPr>
        <w:t>十九</w:t>
      </w:r>
      <w:r>
        <w:rPr>
          <w:rFonts w:ascii="Times New Roman" w:hAnsi="Times New Roman" w:eastAsia="仿宋"/>
          <w:b/>
          <w:snapToGrid w:val="0"/>
          <w:sz w:val="32"/>
          <w:szCs w:val="32"/>
        </w:rPr>
        <w:t>条</w:t>
      </w:r>
      <w:r>
        <w:rPr>
          <w:rFonts w:hint="eastAsia" w:ascii="Times New Roman" w:hAnsi="Times New Roman" w:eastAsia="仿宋"/>
          <w:b/>
          <w:snapToGrid w:val="0"/>
          <w:sz w:val="32"/>
          <w:szCs w:val="32"/>
        </w:rPr>
        <w:t xml:space="preserve"> </w:t>
      </w:r>
      <w:r>
        <w:rPr>
          <w:rFonts w:ascii="Times New Roman" w:hAnsi="Times New Roman" w:eastAsia="仿宋"/>
          <w:snapToGrid w:val="0"/>
          <w:sz w:val="32"/>
          <w:szCs w:val="32"/>
        </w:rPr>
        <w:t>除本指引第</w:t>
      </w:r>
      <w:r>
        <w:rPr>
          <w:rFonts w:hint="eastAsia" w:ascii="Times New Roman" w:hAnsi="Times New Roman" w:eastAsia="仿宋"/>
          <w:snapToGrid w:val="0"/>
          <w:sz w:val="32"/>
          <w:szCs w:val="32"/>
        </w:rPr>
        <w:t>十七</w:t>
      </w:r>
      <w:r>
        <w:rPr>
          <w:rFonts w:ascii="Times New Roman" w:hAnsi="Times New Roman" w:eastAsia="仿宋"/>
          <w:snapToGrid w:val="0"/>
          <w:sz w:val="32"/>
          <w:szCs w:val="32"/>
        </w:rPr>
        <w:t>条、第</w:t>
      </w:r>
      <w:r>
        <w:rPr>
          <w:rFonts w:hint="eastAsia" w:ascii="Times New Roman" w:hAnsi="Times New Roman" w:eastAsia="仿宋"/>
          <w:snapToGrid w:val="0"/>
          <w:sz w:val="32"/>
          <w:szCs w:val="32"/>
        </w:rPr>
        <w:t>十八</w:t>
      </w:r>
      <w:r>
        <w:rPr>
          <w:rFonts w:ascii="Times New Roman" w:hAnsi="Times New Roman" w:eastAsia="仿宋"/>
          <w:snapToGrid w:val="0"/>
          <w:sz w:val="32"/>
          <w:szCs w:val="32"/>
        </w:rPr>
        <w:t>条规定的用途外，保荐机构不得将评价结果用于广告宣传、营销推广等商业目的。</w:t>
      </w:r>
    </w:p>
    <w:p>
      <w:pPr>
        <w:overflowPunct w:val="0"/>
        <w:adjustRightInd w:val="0"/>
        <w:snapToGrid w:val="0"/>
        <w:spacing w:before="240" w:after="240" w:line="600" w:lineRule="exact"/>
        <w:jc w:val="center"/>
        <w:rPr>
          <w:rFonts w:ascii="Times New Roman" w:hAnsi="Times New Roman" w:eastAsia="黑体"/>
          <w:snapToGrid w:val="0"/>
          <w:sz w:val="32"/>
        </w:rPr>
      </w:pPr>
      <w:r>
        <w:rPr>
          <w:rFonts w:ascii="Times New Roman" w:hAnsi="Times New Roman" w:eastAsia="黑体"/>
          <w:snapToGrid w:val="0"/>
          <w:sz w:val="32"/>
        </w:rPr>
        <w:t>第五章</w:t>
      </w:r>
      <w:r>
        <w:rPr>
          <w:rFonts w:ascii="Times New Roman" w:hAnsi="Times New Roman" w:eastAsia="黑体"/>
          <w:snapToGrid w:val="0"/>
          <w:sz w:val="32"/>
        </w:rPr>
        <w:tab/>
      </w:r>
      <w:r>
        <w:rPr>
          <w:rFonts w:ascii="Times New Roman" w:hAnsi="Times New Roman" w:eastAsia="黑体"/>
          <w:snapToGrid w:val="0"/>
          <w:sz w:val="32"/>
        </w:rPr>
        <w:t>评价组织与实施</w:t>
      </w:r>
    </w:p>
    <w:p>
      <w:pPr>
        <w:pStyle w:val="2"/>
        <w:overflowPunct w:val="0"/>
        <w:adjustRightInd w:val="0"/>
        <w:snapToGrid w:val="0"/>
        <w:spacing w:line="600" w:lineRule="exact"/>
        <w:ind w:left="0" w:firstLine="642" w:firstLineChars="200"/>
        <w:jc w:val="both"/>
        <w:rPr>
          <w:rFonts w:ascii="Times New Roman" w:hAnsi="Times New Roman" w:eastAsia="仿宋"/>
          <w:b/>
          <w:snapToGrid w:val="0"/>
          <w:sz w:val="32"/>
          <w:szCs w:val="32"/>
        </w:rPr>
      </w:pPr>
      <w:r>
        <w:rPr>
          <w:rFonts w:ascii="Times New Roman" w:hAnsi="Times New Roman" w:eastAsia="仿宋"/>
          <w:b/>
          <w:snapToGrid w:val="0"/>
          <w:sz w:val="32"/>
          <w:szCs w:val="32"/>
        </w:rPr>
        <w:t xml:space="preserve">第二十条 </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按照本指引的要求进行数据整理、统计计算及结果复核。</w:t>
      </w:r>
    </w:p>
    <w:p>
      <w:pPr>
        <w:pStyle w:val="2"/>
        <w:overflowPunct w:val="0"/>
        <w:adjustRightInd w:val="0"/>
        <w:snapToGrid w:val="0"/>
        <w:spacing w:line="600" w:lineRule="exact"/>
        <w:ind w:left="0" w:firstLine="642" w:firstLineChars="200"/>
        <w:jc w:val="both"/>
        <w:rPr>
          <w:rFonts w:ascii="Times New Roman" w:hAnsi="Times New Roman" w:eastAsia="仿宋"/>
          <w:b/>
          <w:snapToGrid w:val="0"/>
          <w:sz w:val="32"/>
          <w:szCs w:val="32"/>
        </w:rPr>
      </w:pPr>
      <w:r>
        <w:rPr>
          <w:rFonts w:ascii="Times New Roman" w:hAnsi="Times New Roman" w:eastAsia="仿宋"/>
          <w:b/>
          <w:snapToGrid w:val="0"/>
          <w:sz w:val="32"/>
          <w:szCs w:val="32"/>
        </w:rPr>
        <w:t>第二十</w:t>
      </w:r>
      <w:r>
        <w:rPr>
          <w:rFonts w:hint="eastAsia" w:ascii="Times New Roman" w:hAnsi="Times New Roman" w:eastAsia="仿宋"/>
          <w:b/>
          <w:snapToGrid w:val="0"/>
          <w:sz w:val="32"/>
          <w:szCs w:val="32"/>
        </w:rPr>
        <w:t>一</w:t>
      </w:r>
      <w:r>
        <w:rPr>
          <w:rFonts w:ascii="Times New Roman" w:hAnsi="Times New Roman" w:eastAsia="仿宋"/>
          <w:b/>
          <w:snapToGrid w:val="0"/>
          <w:sz w:val="32"/>
          <w:szCs w:val="32"/>
        </w:rPr>
        <w:t>条</w:t>
      </w:r>
      <w:r>
        <w:rPr>
          <w:rFonts w:hint="eastAsia" w:ascii="Times New Roman" w:hAnsi="Times New Roman" w:eastAsia="仿宋"/>
          <w:b/>
          <w:snapToGrid w:val="0"/>
          <w:sz w:val="32"/>
          <w:szCs w:val="32"/>
        </w:rPr>
        <w:t xml:space="preserve"> </w:t>
      </w:r>
      <w:r>
        <w:rPr>
          <w:rFonts w:ascii="Times New Roman" w:hAnsi="Times New Roman" w:eastAsia="仿宋"/>
          <w:snapToGrid w:val="0"/>
          <w:sz w:val="32"/>
          <w:szCs w:val="32"/>
        </w:rPr>
        <w:t>评价工作每年定期开展一次</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每年第</w:t>
      </w:r>
      <w:r>
        <w:rPr>
          <w:rFonts w:hint="eastAsia" w:ascii="Times New Roman" w:hAnsi="Times New Roman" w:eastAsia="仿宋"/>
          <w:snapToGrid w:val="0"/>
          <w:sz w:val="32"/>
          <w:szCs w:val="32"/>
        </w:rPr>
        <w:t>三</w:t>
      </w:r>
      <w:r>
        <w:rPr>
          <w:rFonts w:ascii="Times New Roman" w:hAnsi="Times New Roman" w:eastAsia="仿宋"/>
          <w:snapToGrid w:val="0"/>
          <w:sz w:val="32"/>
          <w:szCs w:val="32"/>
        </w:rPr>
        <w:t>季度开展上一年度保荐机构执业质量评价工作，</w:t>
      </w:r>
      <w:r>
        <w:rPr>
          <w:rFonts w:hint="eastAsia" w:ascii="Times New Roman" w:hAnsi="Times New Roman" w:eastAsia="仿宋"/>
          <w:snapToGrid w:val="0"/>
          <w:sz w:val="32"/>
          <w:szCs w:val="32"/>
        </w:rPr>
        <w:t>并于</w:t>
      </w:r>
      <w:r>
        <w:rPr>
          <w:rFonts w:ascii="Times New Roman" w:hAnsi="Times New Roman" w:eastAsia="仿宋"/>
          <w:snapToGrid w:val="0"/>
          <w:sz w:val="32"/>
          <w:szCs w:val="32"/>
        </w:rPr>
        <w:t>每年第</w:t>
      </w:r>
      <w:r>
        <w:rPr>
          <w:rFonts w:hint="eastAsia" w:ascii="Times New Roman" w:hAnsi="Times New Roman" w:eastAsia="仿宋"/>
          <w:snapToGrid w:val="0"/>
          <w:sz w:val="32"/>
          <w:szCs w:val="32"/>
        </w:rPr>
        <w:t>三</w:t>
      </w:r>
      <w:r>
        <w:rPr>
          <w:rFonts w:ascii="Times New Roman" w:hAnsi="Times New Roman" w:eastAsia="仿宋"/>
          <w:snapToGrid w:val="0"/>
          <w:sz w:val="32"/>
          <w:szCs w:val="32"/>
        </w:rPr>
        <w:t>季度末前通过</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网站公布评价结果。</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第二十</w:t>
      </w:r>
      <w:r>
        <w:rPr>
          <w:rFonts w:hint="eastAsia" w:ascii="Times New Roman" w:hAnsi="Times New Roman" w:eastAsia="仿宋"/>
          <w:b/>
          <w:snapToGrid w:val="0"/>
          <w:sz w:val="32"/>
          <w:szCs w:val="32"/>
        </w:rPr>
        <w:t>二</w:t>
      </w:r>
      <w:r>
        <w:rPr>
          <w:rFonts w:ascii="Times New Roman" w:hAnsi="Times New Roman" w:eastAsia="仿宋"/>
          <w:b/>
          <w:snapToGrid w:val="0"/>
          <w:sz w:val="32"/>
          <w:szCs w:val="32"/>
        </w:rPr>
        <w:t>条</w:t>
      </w:r>
      <w:r>
        <w:rPr>
          <w:rFonts w:ascii="Times New Roman" w:hAnsi="Times New Roman" w:eastAsia="仿宋"/>
          <w:snapToGrid w:val="0"/>
          <w:sz w:val="32"/>
          <w:szCs w:val="32"/>
        </w:rPr>
        <w:t xml:space="preserve"> </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开展评价工作接受中国证监会指导与监督</w:t>
      </w:r>
      <w:r>
        <w:rPr>
          <w:rFonts w:hint="eastAsia" w:ascii="Times New Roman" w:hAnsi="Times New Roman" w:eastAsia="仿宋"/>
          <w:snapToGrid w:val="0"/>
          <w:sz w:val="32"/>
          <w:szCs w:val="32"/>
        </w:rPr>
        <w:t>。</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第二十</w:t>
      </w:r>
      <w:r>
        <w:rPr>
          <w:rFonts w:hint="eastAsia" w:ascii="Times New Roman" w:hAnsi="Times New Roman" w:eastAsia="仿宋"/>
          <w:b/>
          <w:snapToGrid w:val="0"/>
          <w:sz w:val="32"/>
          <w:szCs w:val="32"/>
        </w:rPr>
        <w:t>三</w:t>
      </w:r>
      <w:r>
        <w:rPr>
          <w:rFonts w:ascii="Times New Roman" w:hAnsi="Times New Roman" w:eastAsia="仿宋"/>
          <w:b/>
          <w:snapToGrid w:val="0"/>
          <w:sz w:val="32"/>
          <w:szCs w:val="32"/>
        </w:rPr>
        <w:t>条</w:t>
      </w:r>
      <w:r>
        <w:rPr>
          <w:rFonts w:ascii="Times New Roman" w:hAnsi="Times New Roman" w:eastAsia="仿宋"/>
          <w:snapToGrid w:val="0"/>
          <w:sz w:val="32"/>
          <w:szCs w:val="32"/>
        </w:rPr>
        <w:t xml:space="preserve"> 保荐机构对评价结果有异议的，可以自结果公布之日起10个工作日内，向</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提出书面申述。</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应在收到申述后10个工作日内予以答复。</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第二十</w:t>
      </w:r>
      <w:r>
        <w:rPr>
          <w:rFonts w:hint="eastAsia" w:ascii="Times New Roman" w:hAnsi="Times New Roman" w:eastAsia="仿宋"/>
          <w:b/>
          <w:snapToGrid w:val="0"/>
          <w:sz w:val="32"/>
          <w:szCs w:val="32"/>
        </w:rPr>
        <w:t>四</w:t>
      </w:r>
      <w:r>
        <w:rPr>
          <w:rFonts w:ascii="Times New Roman" w:hAnsi="Times New Roman" w:eastAsia="仿宋"/>
          <w:b/>
          <w:snapToGrid w:val="0"/>
          <w:sz w:val="32"/>
          <w:szCs w:val="32"/>
        </w:rPr>
        <w:t>条</w:t>
      </w:r>
      <w:r>
        <w:rPr>
          <w:rFonts w:ascii="Times New Roman" w:hAnsi="Times New Roman" w:eastAsia="仿宋"/>
          <w:snapToGrid w:val="0"/>
          <w:sz w:val="32"/>
          <w:szCs w:val="32"/>
        </w:rPr>
        <w:t xml:space="preserve"> </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可以基于投资者需求、保荐机构业务发展情况和监管工作要求，对评价体系、评价指标和评价方法等予以调整。</w:t>
      </w:r>
    </w:p>
    <w:p>
      <w:pPr>
        <w:overflowPunct w:val="0"/>
        <w:adjustRightInd w:val="0"/>
        <w:snapToGrid w:val="0"/>
        <w:spacing w:before="240" w:after="240" w:line="600" w:lineRule="exact"/>
        <w:jc w:val="center"/>
        <w:rPr>
          <w:rFonts w:ascii="Times New Roman" w:hAnsi="Times New Roman" w:eastAsia="黑体"/>
          <w:snapToGrid w:val="0"/>
          <w:sz w:val="32"/>
        </w:rPr>
      </w:pPr>
      <w:r>
        <w:rPr>
          <w:rFonts w:ascii="Times New Roman" w:hAnsi="Times New Roman" w:eastAsia="黑体"/>
          <w:snapToGrid w:val="0"/>
          <w:sz w:val="32"/>
        </w:rPr>
        <w:t>第六章</w:t>
      </w:r>
      <w:r>
        <w:rPr>
          <w:rFonts w:ascii="Times New Roman" w:hAnsi="Times New Roman" w:eastAsia="黑体"/>
          <w:snapToGrid w:val="0"/>
          <w:sz w:val="32"/>
        </w:rPr>
        <w:tab/>
      </w:r>
      <w:r>
        <w:rPr>
          <w:rFonts w:ascii="Times New Roman" w:hAnsi="Times New Roman" w:eastAsia="黑体"/>
          <w:snapToGrid w:val="0"/>
          <w:sz w:val="32"/>
        </w:rPr>
        <w:t>附 则</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第二十</w:t>
      </w:r>
      <w:r>
        <w:rPr>
          <w:rFonts w:hint="eastAsia" w:ascii="Times New Roman" w:hAnsi="Times New Roman" w:eastAsia="仿宋"/>
          <w:b/>
          <w:snapToGrid w:val="0"/>
          <w:sz w:val="32"/>
          <w:szCs w:val="32"/>
        </w:rPr>
        <w:t>五</w:t>
      </w:r>
      <w:r>
        <w:rPr>
          <w:rFonts w:ascii="Times New Roman" w:hAnsi="Times New Roman" w:eastAsia="仿宋"/>
          <w:b/>
          <w:snapToGrid w:val="0"/>
          <w:sz w:val="32"/>
          <w:szCs w:val="32"/>
        </w:rPr>
        <w:t>条</w:t>
      </w:r>
      <w:r>
        <w:rPr>
          <w:rFonts w:ascii="Times New Roman" w:hAnsi="Times New Roman" w:eastAsia="仿宋"/>
          <w:snapToGrid w:val="0"/>
          <w:sz w:val="32"/>
          <w:szCs w:val="32"/>
        </w:rPr>
        <w:t xml:space="preserve"> 本指引由</w:t>
      </w:r>
      <w:r>
        <w:rPr>
          <w:rFonts w:hint="eastAsia" w:ascii="Times New Roman" w:hAnsi="Times New Roman" w:eastAsia="仿宋"/>
          <w:snapToGrid w:val="0"/>
          <w:sz w:val="32"/>
          <w:szCs w:val="32"/>
        </w:rPr>
        <w:t>北交所</w:t>
      </w:r>
      <w:r>
        <w:rPr>
          <w:rFonts w:ascii="Times New Roman" w:hAnsi="Times New Roman" w:eastAsia="仿宋"/>
          <w:snapToGrid w:val="0"/>
          <w:sz w:val="32"/>
          <w:szCs w:val="32"/>
        </w:rPr>
        <w:t>解释。</w:t>
      </w:r>
    </w:p>
    <w:p>
      <w:pPr>
        <w:pStyle w:val="2"/>
        <w:overflowPunct w:val="0"/>
        <w:adjustRightInd w:val="0"/>
        <w:snapToGrid w:val="0"/>
        <w:spacing w:line="600" w:lineRule="exact"/>
        <w:ind w:left="0" w:firstLine="642" w:firstLineChars="200"/>
        <w:jc w:val="both"/>
        <w:rPr>
          <w:rFonts w:ascii="Times New Roman" w:hAnsi="Times New Roman" w:eastAsia="仿宋"/>
          <w:snapToGrid w:val="0"/>
          <w:sz w:val="32"/>
          <w:szCs w:val="32"/>
        </w:rPr>
      </w:pPr>
      <w:r>
        <w:rPr>
          <w:rFonts w:ascii="Times New Roman" w:hAnsi="Times New Roman" w:eastAsia="仿宋"/>
          <w:b/>
          <w:snapToGrid w:val="0"/>
          <w:sz w:val="32"/>
          <w:szCs w:val="32"/>
        </w:rPr>
        <w:t>第</w:t>
      </w:r>
      <w:r>
        <w:rPr>
          <w:rFonts w:hint="eastAsia" w:ascii="Times New Roman" w:hAnsi="Times New Roman" w:eastAsia="仿宋"/>
          <w:b/>
          <w:snapToGrid w:val="0"/>
          <w:sz w:val="32"/>
          <w:szCs w:val="32"/>
        </w:rPr>
        <w:t>二十六</w:t>
      </w:r>
      <w:r>
        <w:rPr>
          <w:rFonts w:ascii="Times New Roman" w:hAnsi="Times New Roman" w:eastAsia="仿宋"/>
          <w:b/>
          <w:snapToGrid w:val="0"/>
          <w:sz w:val="32"/>
          <w:szCs w:val="32"/>
        </w:rPr>
        <w:t>条</w:t>
      </w:r>
      <w:r>
        <w:rPr>
          <w:rFonts w:ascii="Times New Roman" w:hAnsi="Times New Roman" w:eastAsia="仿宋"/>
          <w:snapToGrid w:val="0"/>
          <w:sz w:val="32"/>
          <w:szCs w:val="32"/>
        </w:rPr>
        <w:t xml:space="preserve"> 本指引自发布之日起施行。北交所于</w:t>
      </w:r>
      <w:r>
        <w:rPr>
          <w:rFonts w:hint="eastAsia" w:ascii="Times New Roman" w:hAnsi="Times New Roman" w:eastAsia="仿宋"/>
          <w:snapToGrid w:val="0"/>
          <w:sz w:val="32"/>
          <w:szCs w:val="32"/>
        </w:rPr>
        <w:t>2</w:t>
      </w:r>
      <w:r>
        <w:rPr>
          <w:rFonts w:ascii="Times New Roman" w:hAnsi="Times New Roman" w:eastAsia="仿宋"/>
          <w:snapToGrid w:val="0"/>
          <w:sz w:val="32"/>
          <w:szCs w:val="32"/>
        </w:rPr>
        <w:t>024年</w:t>
      </w:r>
      <w:r>
        <w:rPr>
          <w:rFonts w:hint="eastAsia" w:ascii="Times New Roman" w:hAnsi="Times New Roman" w:eastAsia="仿宋"/>
          <w:snapToGrid w:val="0"/>
          <w:sz w:val="32"/>
          <w:szCs w:val="32"/>
        </w:rPr>
        <w:t>1</w:t>
      </w:r>
      <w:r>
        <w:rPr>
          <w:rFonts w:ascii="Times New Roman" w:hAnsi="Times New Roman" w:eastAsia="仿宋"/>
          <w:snapToGrid w:val="0"/>
          <w:sz w:val="32"/>
          <w:szCs w:val="32"/>
        </w:rPr>
        <w:t>1月</w:t>
      </w:r>
      <w:r>
        <w:rPr>
          <w:rFonts w:hint="eastAsia" w:ascii="Times New Roman" w:hAnsi="Times New Roman" w:eastAsia="仿宋"/>
          <w:snapToGrid w:val="0"/>
          <w:sz w:val="32"/>
          <w:szCs w:val="32"/>
        </w:rPr>
        <w:t>1日发布的《北京证券交易所以上市公司质量为导向的保荐机构执业质量评价指引（试行）》同时废止。</w:t>
      </w: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p>
    <w:p>
      <w:pPr>
        <w:pStyle w:val="2"/>
        <w:overflowPunct w:val="0"/>
        <w:adjustRightInd w:val="0"/>
        <w:snapToGrid w:val="0"/>
        <w:spacing w:line="600" w:lineRule="exact"/>
        <w:ind w:left="0" w:firstLine="640" w:firstLineChars="200"/>
        <w:jc w:val="both"/>
        <w:rPr>
          <w:rFonts w:ascii="Times New Roman" w:hAnsi="Times New Roman" w:eastAsia="仿宋"/>
          <w:snapToGrid w:val="0"/>
          <w:sz w:val="32"/>
          <w:szCs w:val="32"/>
        </w:rPr>
      </w:pPr>
      <w:r>
        <w:rPr>
          <w:rFonts w:ascii="Times New Roman" w:hAnsi="Times New Roman" w:eastAsia="仿宋"/>
          <w:snapToGrid w:val="0"/>
          <w:sz w:val="32"/>
          <w:szCs w:val="32"/>
        </w:rPr>
        <w:t xml:space="preserve">附件：1.评价体系构成及权重分布 </w:t>
      </w:r>
    </w:p>
    <w:p>
      <w:pPr>
        <w:pStyle w:val="2"/>
        <w:overflowPunct w:val="0"/>
        <w:adjustRightInd w:val="0"/>
        <w:snapToGrid w:val="0"/>
        <w:spacing w:line="600" w:lineRule="exact"/>
        <w:ind w:left="0" w:firstLine="1600" w:firstLineChars="500"/>
        <w:jc w:val="both"/>
        <w:rPr>
          <w:rFonts w:ascii="Times New Roman" w:hAnsi="Times New Roman" w:eastAsia="仿宋"/>
          <w:snapToGrid w:val="0"/>
          <w:sz w:val="32"/>
          <w:szCs w:val="32"/>
        </w:rPr>
      </w:pPr>
      <w:r>
        <w:rPr>
          <w:rFonts w:ascii="Times New Roman" w:hAnsi="Times New Roman" w:eastAsia="仿宋"/>
          <w:snapToGrid w:val="0"/>
          <w:sz w:val="32"/>
          <w:szCs w:val="32"/>
        </w:rPr>
        <w:t>2.评价指标内容及赋值方式</w:t>
      </w:r>
    </w:p>
    <w:p>
      <w:pPr>
        <w:pStyle w:val="2"/>
        <w:overflowPunct w:val="0"/>
        <w:adjustRightInd w:val="0"/>
        <w:snapToGrid w:val="0"/>
        <w:spacing w:line="600" w:lineRule="exact"/>
        <w:ind w:left="0" w:firstLine="1600" w:firstLineChars="500"/>
        <w:jc w:val="both"/>
        <w:rPr>
          <w:rFonts w:ascii="Times New Roman" w:hAnsi="Times New Roman" w:eastAsia="仿宋"/>
          <w:snapToGrid w:val="0"/>
          <w:sz w:val="32"/>
          <w:szCs w:val="32"/>
        </w:rPr>
      </w:pPr>
      <w:r>
        <w:rPr>
          <w:rFonts w:ascii="Times New Roman" w:hAnsi="Times New Roman" w:eastAsia="仿宋"/>
          <w:snapToGrid w:val="0"/>
          <w:sz w:val="32"/>
          <w:szCs w:val="32"/>
        </w:rPr>
        <w:t>3.评价指标具体计算方式</w:t>
      </w:r>
    </w:p>
    <w:p>
      <w:pPr>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pPr>
    </w:p>
    <w:p>
      <w:pPr>
        <w:pStyle w:val="2"/>
        <w:overflowPunct w:val="0"/>
        <w:adjustRightInd w:val="0"/>
        <w:snapToGrid w:val="0"/>
        <w:spacing w:line="60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附件 1</w:t>
      </w:r>
    </w:p>
    <w:p>
      <w:pPr>
        <w:pStyle w:val="2"/>
        <w:overflowPunct w:val="0"/>
        <w:adjustRightInd w:val="0"/>
        <w:snapToGrid w:val="0"/>
        <w:spacing w:line="600" w:lineRule="exact"/>
        <w:ind w:left="0"/>
        <w:jc w:val="center"/>
        <w:rPr>
          <w:rFonts w:ascii="方正大标宋简体" w:hAnsi="Times New Roman" w:eastAsia="方正大标宋简体"/>
          <w:sz w:val="44"/>
          <w:szCs w:val="32"/>
        </w:rPr>
      </w:pPr>
      <w:r>
        <w:rPr>
          <w:rFonts w:hint="eastAsia" w:ascii="方正大标宋简体" w:hAnsi="Times New Roman" w:eastAsia="方正大标宋简体"/>
          <w:sz w:val="44"/>
          <w:szCs w:val="32"/>
        </w:rPr>
        <w:t>评价体系构成及权重分布</w:t>
      </w:r>
    </w:p>
    <w:p>
      <w:pPr>
        <w:pStyle w:val="2"/>
        <w:overflowPunct w:val="0"/>
        <w:adjustRightInd w:val="0"/>
        <w:snapToGrid w:val="0"/>
        <w:spacing w:line="600" w:lineRule="exact"/>
        <w:ind w:left="0" w:firstLine="600" w:firstLineChars="200"/>
        <w:jc w:val="center"/>
        <w:rPr>
          <w:rFonts w:ascii="方正大标宋简体" w:hAnsi="Times New Roman" w:eastAsia="方正大标宋简体"/>
          <w:sz w:val="44"/>
          <w:szCs w:val="32"/>
        </w:rPr>
      </w:pPr>
      <w:r>
        <w:drawing>
          <wp:anchor distT="0" distB="0" distL="114300" distR="114300" simplePos="0" relativeHeight="251658240" behindDoc="0" locked="0" layoutInCell="1" allowOverlap="1">
            <wp:simplePos x="0" y="0"/>
            <wp:positionH relativeFrom="column">
              <wp:posOffset>-38100</wp:posOffset>
            </wp:positionH>
            <wp:positionV relativeFrom="paragraph">
              <wp:posOffset>236220</wp:posOffset>
            </wp:positionV>
            <wp:extent cx="8845550" cy="3474720"/>
            <wp:effectExtent l="0" t="0" r="8890" b="0"/>
            <wp:wrapTopAndBottom/>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8"/>
                    <a:stretch>
                      <a:fillRect/>
                    </a:stretch>
                  </pic:blipFill>
                  <pic:spPr>
                    <a:xfrm>
                      <a:off x="0" y="0"/>
                      <a:ext cx="8845550" cy="3474720"/>
                    </a:xfrm>
                    <a:prstGeom prst="rect">
                      <a:avLst/>
                    </a:prstGeom>
                    <a:noFill/>
                    <a:ln>
                      <a:noFill/>
                    </a:ln>
                  </pic:spPr>
                </pic:pic>
              </a:graphicData>
            </a:graphic>
          </wp:anchor>
        </w:drawing>
      </w:r>
    </w:p>
    <w:p>
      <w:pPr>
        <w:spacing w:line="20" w:lineRule="exact"/>
      </w:pPr>
    </w:p>
    <w:p>
      <w:pPr>
        <w:spacing w:line="20" w:lineRule="exact"/>
        <w:sectPr>
          <w:pgSz w:w="16838" w:h="11906" w:orient="landscape"/>
          <w:pgMar w:top="1800" w:right="1440" w:bottom="1800" w:left="1440" w:header="851" w:footer="992" w:gutter="0"/>
          <w:pgNumType w:fmt="numberInDash"/>
          <w:cols w:space="425" w:num="1"/>
          <w:docGrid w:type="lines" w:linePitch="312" w:charSpace="0"/>
        </w:sectPr>
      </w:pPr>
    </w:p>
    <w:p>
      <w:pPr>
        <w:pStyle w:val="2"/>
        <w:overflowPunct w:val="0"/>
        <w:adjustRightInd w:val="0"/>
        <w:snapToGrid w:val="0"/>
        <w:spacing w:line="60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附件 2</w:t>
      </w:r>
    </w:p>
    <w:p>
      <w:pPr>
        <w:pStyle w:val="2"/>
        <w:overflowPunct w:val="0"/>
        <w:adjustRightInd w:val="0"/>
        <w:snapToGrid w:val="0"/>
        <w:spacing w:line="600" w:lineRule="exact"/>
        <w:ind w:left="0"/>
        <w:jc w:val="center"/>
        <w:rPr>
          <w:rFonts w:ascii="方正大标宋简体" w:hAnsi="Times New Roman" w:eastAsia="方正大标宋简体"/>
          <w:sz w:val="44"/>
          <w:szCs w:val="32"/>
        </w:rPr>
      </w:pPr>
      <w:r>
        <w:rPr>
          <w:rFonts w:hint="eastAsia" w:ascii="方正大标宋简体" w:hAnsi="Times New Roman" w:eastAsia="方正大标宋简体"/>
          <w:sz w:val="44"/>
          <w:szCs w:val="32"/>
        </w:rPr>
        <w:t>评价指标内容及赋值方式</w:t>
      </w:r>
    </w:p>
    <w:p>
      <w:pPr>
        <w:pStyle w:val="2"/>
        <w:overflowPunct w:val="0"/>
        <w:adjustRightInd w:val="0"/>
        <w:snapToGrid w:val="0"/>
        <w:spacing w:line="600" w:lineRule="exact"/>
        <w:ind w:left="640" w:firstLine="640" w:firstLineChars="200"/>
        <w:rPr>
          <w:rFonts w:ascii="Times New Roman" w:hAnsi="Times New Roman" w:eastAsia="仿宋"/>
          <w:sz w:val="32"/>
          <w:szCs w:val="32"/>
        </w:rPr>
      </w:pPr>
    </w:p>
    <w:tbl>
      <w:tblPr>
        <w:tblStyle w:val="14"/>
        <w:tblW w:w="63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3"/>
        <w:gridCol w:w="1173"/>
        <w:gridCol w:w="2055"/>
        <w:gridCol w:w="3736"/>
        <w:gridCol w:w="3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018" w:type="dxa"/>
            <w:tcBorders>
              <w:top w:val="single" w:color="auto" w:sz="8" w:space="0"/>
              <w:left w:val="single" w:color="auto" w:sz="8" w:space="0"/>
              <w:bottom w:val="single" w:color="auto" w:sz="8" w:space="0"/>
              <w:right w:val="single" w:color="auto" w:sz="8" w:space="0"/>
            </w:tcBorders>
            <w:vAlign w:val="center"/>
          </w:tcPr>
          <w:p>
            <w:pPr>
              <w:pStyle w:val="15"/>
              <w:overflowPunct w:val="0"/>
              <w:adjustRightInd w:val="0"/>
              <w:snapToGrid w:val="0"/>
              <w:spacing w:line="480" w:lineRule="exact"/>
              <w:jc w:val="center"/>
              <w:rPr>
                <w:rFonts w:ascii="黑体" w:hAnsi="黑体" w:eastAsia="黑体"/>
                <w:sz w:val="24"/>
                <w:szCs w:val="28"/>
                <w:lang w:eastAsia="en-US"/>
              </w:rPr>
            </w:pPr>
            <w:r>
              <w:rPr>
                <w:rFonts w:ascii="黑体" w:hAnsi="黑体" w:eastAsia="黑体"/>
                <w:spacing w:val="-5"/>
                <w:sz w:val="24"/>
                <w:szCs w:val="28"/>
                <w:lang w:eastAsia="en-US"/>
              </w:rPr>
              <w:t>内容</w:t>
            </w:r>
          </w:p>
        </w:tc>
        <w:tc>
          <w:tcPr>
            <w:tcW w:w="1168" w:type="dxa"/>
            <w:tcBorders>
              <w:top w:val="single" w:color="auto" w:sz="8" w:space="0"/>
              <w:left w:val="single" w:color="auto" w:sz="8" w:space="0"/>
              <w:bottom w:val="single" w:color="auto" w:sz="8" w:space="0"/>
              <w:right w:val="single" w:color="auto" w:sz="8" w:space="0"/>
            </w:tcBorders>
            <w:vAlign w:val="center"/>
          </w:tcPr>
          <w:p>
            <w:pPr>
              <w:pStyle w:val="15"/>
              <w:overflowPunct w:val="0"/>
              <w:adjustRightInd w:val="0"/>
              <w:snapToGrid w:val="0"/>
              <w:spacing w:line="480" w:lineRule="exact"/>
              <w:jc w:val="center"/>
              <w:rPr>
                <w:rFonts w:ascii="黑体" w:hAnsi="黑体" w:eastAsia="黑体"/>
                <w:sz w:val="24"/>
                <w:szCs w:val="28"/>
                <w:lang w:eastAsia="en-US"/>
              </w:rPr>
            </w:pPr>
            <w:r>
              <w:rPr>
                <w:rFonts w:ascii="黑体" w:hAnsi="黑体" w:eastAsia="黑体"/>
                <w:spacing w:val="-3"/>
                <w:sz w:val="24"/>
                <w:szCs w:val="28"/>
                <w:lang w:eastAsia="en-US"/>
              </w:rPr>
              <w:t>二级指标</w:t>
            </w:r>
          </w:p>
        </w:tc>
        <w:tc>
          <w:tcPr>
            <w:tcW w:w="2046" w:type="dxa"/>
            <w:tcBorders>
              <w:top w:val="single" w:color="auto" w:sz="8" w:space="0"/>
              <w:left w:val="single" w:color="auto" w:sz="8" w:space="0"/>
              <w:bottom w:val="single" w:color="auto" w:sz="8" w:space="0"/>
              <w:right w:val="single" w:color="auto" w:sz="8" w:space="0"/>
            </w:tcBorders>
            <w:vAlign w:val="center"/>
          </w:tcPr>
          <w:p>
            <w:pPr>
              <w:pStyle w:val="15"/>
              <w:overflowPunct w:val="0"/>
              <w:adjustRightInd w:val="0"/>
              <w:snapToGrid w:val="0"/>
              <w:spacing w:line="480" w:lineRule="exact"/>
              <w:jc w:val="center"/>
              <w:rPr>
                <w:rFonts w:ascii="黑体" w:hAnsi="黑体" w:eastAsia="黑体"/>
                <w:sz w:val="24"/>
                <w:szCs w:val="28"/>
                <w:lang w:eastAsia="en-US"/>
              </w:rPr>
            </w:pPr>
            <w:r>
              <w:rPr>
                <w:rFonts w:ascii="黑体" w:hAnsi="黑体" w:eastAsia="黑体"/>
                <w:spacing w:val="-3"/>
                <w:sz w:val="24"/>
                <w:szCs w:val="28"/>
                <w:lang w:eastAsia="en-US"/>
              </w:rPr>
              <w:t>三级指标</w:t>
            </w:r>
          </w:p>
        </w:tc>
        <w:tc>
          <w:tcPr>
            <w:tcW w:w="3719" w:type="dxa"/>
            <w:tcBorders>
              <w:top w:val="single" w:color="auto" w:sz="8" w:space="0"/>
              <w:left w:val="single" w:color="auto" w:sz="8" w:space="0"/>
              <w:bottom w:val="single" w:color="auto" w:sz="8" w:space="0"/>
              <w:right w:val="single" w:color="auto" w:sz="8" w:space="0"/>
            </w:tcBorders>
            <w:vAlign w:val="center"/>
          </w:tcPr>
          <w:p>
            <w:pPr>
              <w:pStyle w:val="15"/>
              <w:overflowPunct w:val="0"/>
              <w:adjustRightInd w:val="0"/>
              <w:snapToGrid w:val="0"/>
              <w:spacing w:line="480" w:lineRule="exact"/>
              <w:jc w:val="center"/>
              <w:rPr>
                <w:rFonts w:ascii="黑体" w:hAnsi="黑体" w:eastAsia="黑体"/>
                <w:sz w:val="24"/>
                <w:szCs w:val="28"/>
                <w:lang w:eastAsia="en-US"/>
              </w:rPr>
            </w:pPr>
            <w:r>
              <w:rPr>
                <w:rFonts w:ascii="黑体" w:hAnsi="黑体" w:eastAsia="黑体"/>
                <w:spacing w:val="-3"/>
                <w:sz w:val="24"/>
                <w:szCs w:val="28"/>
                <w:lang w:eastAsia="en-US"/>
              </w:rPr>
              <w:t>四级指标</w:t>
            </w:r>
          </w:p>
        </w:tc>
        <w:tc>
          <w:tcPr>
            <w:tcW w:w="3191" w:type="dxa"/>
            <w:tcBorders>
              <w:top w:val="single" w:color="auto" w:sz="8" w:space="0"/>
              <w:left w:val="single" w:color="auto" w:sz="8" w:space="0"/>
              <w:bottom w:val="single" w:color="auto" w:sz="8" w:space="0"/>
              <w:right w:val="single" w:color="auto" w:sz="8" w:space="0"/>
            </w:tcBorders>
            <w:vAlign w:val="center"/>
          </w:tcPr>
          <w:p>
            <w:pPr>
              <w:pStyle w:val="15"/>
              <w:overflowPunct w:val="0"/>
              <w:adjustRightInd w:val="0"/>
              <w:snapToGrid w:val="0"/>
              <w:spacing w:line="480" w:lineRule="exact"/>
              <w:jc w:val="center"/>
              <w:rPr>
                <w:rFonts w:ascii="黑体" w:hAnsi="黑体" w:eastAsia="黑体"/>
                <w:sz w:val="24"/>
                <w:szCs w:val="28"/>
                <w:lang w:eastAsia="en-US"/>
              </w:rPr>
            </w:pPr>
            <w:r>
              <w:rPr>
                <w:rFonts w:ascii="黑体" w:hAnsi="黑体" w:eastAsia="黑体"/>
                <w:spacing w:val="-3"/>
                <w:sz w:val="24"/>
                <w:szCs w:val="28"/>
                <w:lang w:eastAsia="en-US"/>
              </w:rPr>
              <w:t>赋值方式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8" w:type="dxa"/>
            <w:vMerge w:val="restart"/>
            <w:tcBorders>
              <w:top w:val="single" w:color="auto" w:sz="8" w:space="0"/>
            </w:tcBorders>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r>
              <w:rPr>
                <w:rFonts w:ascii="Times New Roman" w:hAnsi="Times New Roman" w:eastAsia="仿宋"/>
                <w:spacing w:val="-4"/>
                <w:sz w:val="24"/>
                <w:szCs w:val="28"/>
                <w:lang w:eastAsia="en-US"/>
              </w:rPr>
              <w:t>上市公司</w:t>
            </w:r>
            <w:r>
              <w:rPr>
                <w:rFonts w:ascii="Times New Roman" w:hAnsi="Times New Roman" w:eastAsia="仿宋"/>
                <w:spacing w:val="-6"/>
                <w:sz w:val="24"/>
                <w:szCs w:val="28"/>
                <w:lang w:eastAsia="en-US"/>
              </w:rPr>
              <w:t>质量</w:t>
            </w:r>
            <w:r>
              <w:rPr>
                <w:rFonts w:ascii="Times New Roman" w:hAnsi="Times New Roman" w:eastAsia="仿宋"/>
                <w:spacing w:val="-2"/>
                <w:sz w:val="24"/>
                <w:szCs w:val="28"/>
                <w:lang w:eastAsia="en-US"/>
              </w:rPr>
              <w:t>（90%）</w:t>
            </w:r>
          </w:p>
        </w:tc>
        <w:tc>
          <w:tcPr>
            <w:tcW w:w="1168" w:type="dxa"/>
            <w:vMerge w:val="restart"/>
            <w:tcBorders>
              <w:top w:val="single" w:color="auto" w:sz="8" w:space="0"/>
            </w:tcBorders>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r>
              <w:rPr>
                <w:rFonts w:ascii="Times New Roman" w:hAnsi="Times New Roman" w:eastAsia="仿宋"/>
                <w:spacing w:val="-4"/>
                <w:sz w:val="24"/>
                <w:szCs w:val="28"/>
                <w:lang w:eastAsia="en-US"/>
              </w:rPr>
              <w:t>公司经营质量</w:t>
            </w:r>
            <w:r>
              <w:rPr>
                <w:rFonts w:ascii="Times New Roman" w:hAnsi="Times New Roman" w:eastAsia="仿宋"/>
                <w:spacing w:val="-2"/>
                <w:sz w:val="24"/>
                <w:szCs w:val="28"/>
                <w:lang w:eastAsia="en-US"/>
              </w:rPr>
              <w:t>（50%）</w:t>
            </w:r>
          </w:p>
        </w:tc>
        <w:tc>
          <w:tcPr>
            <w:tcW w:w="2046" w:type="dxa"/>
            <w:vMerge w:val="restart"/>
            <w:tcBorders>
              <w:top w:val="single" w:color="auto" w:sz="8" w:space="0"/>
            </w:tcBorders>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r>
              <w:rPr>
                <w:rFonts w:ascii="Times New Roman" w:hAnsi="Times New Roman" w:eastAsia="仿宋"/>
                <w:spacing w:val="-2"/>
                <w:sz w:val="24"/>
                <w:szCs w:val="28"/>
                <w:lang w:eastAsia="en-US"/>
              </w:rPr>
              <w:t>盈利能力</w:t>
            </w:r>
            <w:r>
              <w:rPr>
                <w:rFonts w:ascii="Times New Roman" w:hAnsi="Times New Roman" w:eastAsia="仿宋"/>
                <w:spacing w:val="-4"/>
                <w:sz w:val="24"/>
                <w:szCs w:val="28"/>
                <w:lang w:eastAsia="en-US"/>
              </w:rPr>
              <w:t>（20%）</w:t>
            </w:r>
          </w:p>
        </w:tc>
        <w:tc>
          <w:tcPr>
            <w:tcW w:w="3719" w:type="dxa"/>
            <w:tcBorders>
              <w:top w:val="single" w:color="auto" w:sz="8" w:space="0"/>
            </w:tcBorders>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r>
              <w:rPr>
                <w:rFonts w:ascii="Times New Roman" w:hAnsi="Times New Roman" w:eastAsia="仿宋"/>
                <w:spacing w:val="-2"/>
                <w:sz w:val="24"/>
                <w:szCs w:val="28"/>
                <w:lang w:eastAsia="zh-CN"/>
              </w:rPr>
              <w:t>扣非归母净利润规模</w:t>
            </w:r>
            <w:r>
              <w:rPr>
                <w:rFonts w:ascii="Times New Roman" w:hAnsi="Times New Roman" w:eastAsia="仿宋"/>
                <w:spacing w:val="-5"/>
                <w:sz w:val="24"/>
                <w:szCs w:val="28"/>
                <w:lang w:eastAsia="zh-CN"/>
              </w:rPr>
              <w:t>（+）</w:t>
            </w:r>
            <w:r>
              <w:rPr>
                <w:rFonts w:ascii="Times New Roman" w:hAnsi="Times New Roman" w:eastAsia="仿宋"/>
                <w:spacing w:val="-2"/>
                <w:sz w:val="24"/>
                <w:szCs w:val="28"/>
                <w:lang w:eastAsia="zh-CN"/>
              </w:rPr>
              <w:t>（5%）</w:t>
            </w:r>
          </w:p>
        </w:tc>
        <w:tc>
          <w:tcPr>
            <w:tcW w:w="3191" w:type="dxa"/>
            <w:vMerge w:val="restart"/>
            <w:tcBorders>
              <w:top w:val="single" w:color="auto" w:sz="8" w:space="0"/>
            </w:tcBorders>
            <w:vAlign w:val="center"/>
          </w:tcPr>
          <w:p>
            <w:pPr>
              <w:pStyle w:val="15"/>
              <w:overflowPunct w:val="0"/>
              <w:adjustRightInd w:val="0"/>
              <w:snapToGrid w:val="0"/>
              <w:spacing w:line="480" w:lineRule="exact"/>
              <w:jc w:val="both"/>
              <w:rPr>
                <w:rFonts w:ascii="Times New Roman" w:hAnsi="Times New Roman" w:eastAsia="仿宋"/>
                <w:spacing w:val="-2"/>
                <w:sz w:val="24"/>
                <w:szCs w:val="28"/>
                <w:lang w:eastAsia="zh-CN"/>
              </w:rPr>
            </w:pPr>
            <w:r>
              <w:rPr>
                <w:rFonts w:hint="eastAsia" w:ascii="Times New Roman" w:hAnsi="Times New Roman" w:eastAsia="仿宋"/>
                <w:spacing w:val="-2"/>
                <w:sz w:val="24"/>
                <w:szCs w:val="28"/>
                <w:lang w:eastAsia="zh-CN"/>
              </w:rPr>
              <w:t>1</w:t>
            </w:r>
            <w:r>
              <w:rPr>
                <w:rFonts w:ascii="Times New Roman" w:hAnsi="Times New Roman" w:eastAsia="仿宋"/>
                <w:spacing w:val="-2"/>
                <w:sz w:val="24"/>
                <w:szCs w:val="28"/>
                <w:lang w:eastAsia="zh-CN"/>
              </w:rPr>
              <w:t>.按指标值在</w:t>
            </w:r>
            <w:r>
              <w:rPr>
                <w:rFonts w:hint="eastAsia" w:ascii="Times New Roman" w:hAnsi="Times New Roman" w:eastAsia="仿宋"/>
                <w:spacing w:val="-2"/>
                <w:sz w:val="24"/>
                <w:szCs w:val="28"/>
                <w:lang w:eastAsia="zh-CN"/>
              </w:rPr>
              <w:t>北交所上市公司排序的</w:t>
            </w:r>
            <w:r>
              <w:rPr>
                <w:rFonts w:ascii="Times New Roman" w:hAnsi="Times New Roman" w:eastAsia="仿宋"/>
                <w:spacing w:val="-2"/>
                <w:sz w:val="24"/>
                <w:szCs w:val="28"/>
                <w:lang w:eastAsia="zh-CN"/>
              </w:rPr>
              <w:t>分位数</w:t>
            </w:r>
            <w:r>
              <w:rPr>
                <w:rFonts w:hint="eastAsia" w:ascii="Times New Roman" w:hAnsi="Times New Roman" w:eastAsia="仿宋"/>
                <w:spacing w:val="-2"/>
                <w:sz w:val="24"/>
                <w:szCs w:val="28"/>
                <w:lang w:eastAsia="zh-CN"/>
              </w:rPr>
              <w:t>赋分</w:t>
            </w:r>
            <w:r>
              <w:rPr>
                <w:rFonts w:ascii="Times New Roman" w:hAnsi="Times New Roman" w:eastAsia="仿宋"/>
                <w:spacing w:val="-2"/>
                <w:sz w:val="24"/>
                <w:szCs w:val="28"/>
                <w:lang w:eastAsia="zh-CN"/>
              </w:rPr>
              <w:t>。例如</w:t>
            </w:r>
            <w:r>
              <w:rPr>
                <w:rFonts w:hint="eastAsia" w:ascii="Times New Roman" w:hAnsi="Times New Roman" w:eastAsia="仿宋"/>
                <w:spacing w:val="-2"/>
                <w:sz w:val="24"/>
                <w:szCs w:val="28"/>
                <w:lang w:eastAsia="zh-CN"/>
              </w:rPr>
              <w:t>，</w:t>
            </w:r>
            <w:r>
              <w:rPr>
                <w:rFonts w:ascii="Times New Roman" w:hAnsi="Times New Roman" w:eastAsia="仿宋"/>
                <w:spacing w:val="-2"/>
                <w:sz w:val="24"/>
                <w:szCs w:val="28"/>
                <w:lang w:eastAsia="zh-CN"/>
              </w:rPr>
              <w:t>某公司某年</w:t>
            </w:r>
            <w:r>
              <w:rPr>
                <w:rFonts w:hint="eastAsia" w:ascii="Times New Roman" w:hAnsi="Times New Roman" w:eastAsia="仿宋"/>
                <w:spacing w:val="-2"/>
                <w:sz w:val="24"/>
                <w:szCs w:val="28"/>
                <w:lang w:eastAsia="zh-CN"/>
              </w:rPr>
              <w:t>营业收入</w:t>
            </w:r>
            <w:r>
              <w:rPr>
                <w:rFonts w:ascii="Times New Roman" w:hAnsi="Times New Roman" w:eastAsia="仿宋"/>
                <w:spacing w:val="-2"/>
                <w:sz w:val="24"/>
                <w:szCs w:val="28"/>
                <w:lang w:eastAsia="zh-CN"/>
              </w:rPr>
              <w:t>增速在全部北交所上市公司中位于第</w:t>
            </w:r>
            <w:r>
              <w:rPr>
                <w:rFonts w:hint="eastAsia" w:ascii="Times New Roman" w:hAnsi="Times New Roman" w:eastAsia="仿宋"/>
                <w:spacing w:val="-2"/>
                <w:sz w:val="24"/>
                <w:szCs w:val="28"/>
                <w:lang w:eastAsia="zh-CN"/>
              </w:rPr>
              <w:t>1</w:t>
            </w:r>
            <w:r>
              <w:rPr>
                <w:rFonts w:ascii="Times New Roman" w:hAnsi="Times New Roman" w:eastAsia="仿宋"/>
                <w:spacing w:val="-2"/>
                <w:sz w:val="24"/>
                <w:szCs w:val="28"/>
                <w:lang w:eastAsia="zh-CN"/>
              </w:rPr>
              <w:t>5</w:t>
            </w:r>
            <w:r>
              <w:rPr>
                <w:rFonts w:hint="eastAsia" w:ascii="Times New Roman" w:hAnsi="Times New Roman" w:eastAsia="仿宋"/>
                <w:spacing w:val="-2"/>
                <w:sz w:val="24"/>
                <w:szCs w:val="28"/>
                <w:lang w:eastAsia="zh-CN"/>
              </w:rPr>
              <w:t>%</w:t>
            </w:r>
            <w:r>
              <w:rPr>
                <w:rFonts w:ascii="Times New Roman" w:hAnsi="Times New Roman" w:eastAsia="仿宋"/>
                <w:spacing w:val="-2"/>
                <w:sz w:val="24"/>
                <w:szCs w:val="28"/>
                <w:lang w:eastAsia="zh-CN"/>
              </w:rPr>
              <w:t>分位</w:t>
            </w:r>
            <w:r>
              <w:rPr>
                <w:rFonts w:hint="eastAsia" w:ascii="Times New Roman" w:hAnsi="Times New Roman" w:eastAsia="仿宋"/>
                <w:spacing w:val="-2"/>
                <w:sz w:val="24"/>
                <w:szCs w:val="28"/>
                <w:lang w:eastAsia="zh-CN"/>
              </w:rPr>
              <w:t>（按由高到低排序），则赋值8</w:t>
            </w:r>
            <w:r>
              <w:rPr>
                <w:rFonts w:ascii="Times New Roman" w:hAnsi="Times New Roman" w:eastAsia="仿宋"/>
                <w:spacing w:val="-2"/>
                <w:sz w:val="24"/>
                <w:szCs w:val="28"/>
                <w:lang w:eastAsia="zh-CN"/>
              </w:rPr>
              <w:t>5分</w:t>
            </w:r>
            <w:r>
              <w:rPr>
                <w:rFonts w:hint="eastAsia" w:ascii="Times New Roman" w:hAnsi="Times New Roman" w:eastAsia="仿宋"/>
                <w:spacing w:val="-2"/>
                <w:sz w:val="24"/>
                <w:szCs w:val="28"/>
                <w:lang w:eastAsia="zh-CN"/>
              </w:rPr>
              <w:t>。</w:t>
            </w:r>
          </w:p>
          <w:p>
            <w:pPr>
              <w:pStyle w:val="15"/>
              <w:overflowPunct w:val="0"/>
              <w:adjustRightInd w:val="0"/>
              <w:snapToGrid w:val="0"/>
              <w:spacing w:line="480" w:lineRule="exact"/>
              <w:jc w:val="both"/>
              <w:rPr>
                <w:rFonts w:ascii="Times New Roman" w:hAnsi="Times New Roman" w:eastAsia="仿宋"/>
                <w:sz w:val="24"/>
                <w:szCs w:val="28"/>
                <w:lang w:eastAsia="zh-CN"/>
              </w:rPr>
            </w:pPr>
            <w:r>
              <w:rPr>
                <w:rFonts w:hint="eastAsia" w:ascii="Times New Roman" w:hAnsi="Times New Roman" w:eastAsia="仿宋"/>
                <w:spacing w:val="-2"/>
                <w:sz w:val="24"/>
                <w:szCs w:val="28"/>
                <w:lang w:eastAsia="zh-CN"/>
              </w:rPr>
              <w:t>2</w:t>
            </w:r>
            <w:r>
              <w:rPr>
                <w:rFonts w:ascii="Times New Roman" w:hAnsi="Times New Roman" w:eastAsia="仿宋"/>
                <w:spacing w:val="-2"/>
                <w:sz w:val="24"/>
                <w:szCs w:val="28"/>
                <w:lang w:eastAsia="zh-CN"/>
              </w:rPr>
              <w:t>.业绩下滑调整为扣分指标</w:t>
            </w:r>
            <w:r>
              <w:rPr>
                <w:rFonts w:hint="eastAsia" w:ascii="Times New Roman" w:hAnsi="Times New Roman" w:eastAsia="仿宋"/>
                <w:spacing w:val="-2"/>
                <w:sz w:val="24"/>
                <w:szCs w:val="28"/>
                <w:lang w:eastAsia="zh-CN"/>
              </w:rPr>
              <w:t>。</w:t>
            </w:r>
            <w:r>
              <w:rPr>
                <w:rFonts w:ascii="Times New Roman" w:hAnsi="Times New Roman" w:eastAsia="仿宋"/>
                <w:spacing w:val="-2"/>
                <w:sz w:val="24"/>
                <w:szCs w:val="28"/>
                <w:lang w:eastAsia="zh-CN"/>
              </w:rPr>
              <w:t>营业收入或扣非归母净利润同比下滑超过</w:t>
            </w:r>
            <w:r>
              <w:rPr>
                <w:rFonts w:hint="eastAsia" w:ascii="Times New Roman" w:hAnsi="Times New Roman" w:eastAsia="仿宋"/>
                <w:spacing w:val="-2"/>
                <w:sz w:val="24"/>
                <w:szCs w:val="28"/>
                <w:lang w:eastAsia="zh-CN"/>
              </w:rPr>
              <w:t>5</w:t>
            </w:r>
            <w:r>
              <w:rPr>
                <w:rFonts w:ascii="Times New Roman" w:hAnsi="Times New Roman" w:eastAsia="仿宋"/>
                <w:spacing w:val="-2"/>
                <w:sz w:val="24"/>
                <w:szCs w:val="28"/>
                <w:lang w:eastAsia="zh-CN"/>
              </w:rPr>
              <w:t>0</w:t>
            </w:r>
            <w:r>
              <w:rPr>
                <w:rFonts w:hint="eastAsia" w:ascii="Times New Roman" w:hAnsi="Times New Roman" w:eastAsia="仿宋"/>
                <w:spacing w:val="-2"/>
                <w:sz w:val="24"/>
                <w:szCs w:val="28"/>
                <w:lang w:eastAsia="zh-CN"/>
              </w:rPr>
              <w:t>%</w:t>
            </w:r>
            <w:r>
              <w:rPr>
                <w:rFonts w:ascii="Times New Roman" w:hAnsi="Times New Roman" w:eastAsia="仿宋"/>
                <w:spacing w:val="-2"/>
                <w:sz w:val="24"/>
                <w:szCs w:val="28"/>
                <w:lang w:eastAsia="zh-CN"/>
              </w:rPr>
              <w:t>的</w:t>
            </w:r>
            <w:r>
              <w:rPr>
                <w:rFonts w:hint="eastAsia" w:ascii="Times New Roman" w:hAnsi="Times New Roman" w:eastAsia="仿宋"/>
                <w:spacing w:val="-2"/>
                <w:sz w:val="24"/>
                <w:szCs w:val="28"/>
                <w:lang w:eastAsia="zh-CN"/>
              </w:rPr>
              <w:t>，</w:t>
            </w:r>
            <w:r>
              <w:rPr>
                <w:rFonts w:ascii="Times New Roman" w:hAnsi="Times New Roman" w:eastAsia="仿宋"/>
                <w:spacing w:val="-2"/>
                <w:sz w:val="24"/>
                <w:szCs w:val="28"/>
                <w:lang w:eastAsia="zh-CN"/>
              </w:rPr>
              <w:t>当年上市公司质量得分扣</w:t>
            </w:r>
            <w:r>
              <w:rPr>
                <w:rFonts w:hint="eastAsia" w:ascii="Times New Roman" w:hAnsi="Times New Roman" w:eastAsia="仿宋"/>
                <w:spacing w:val="-2"/>
                <w:sz w:val="24"/>
                <w:szCs w:val="28"/>
                <w:lang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116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2046"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3719" w:type="dxa"/>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r>
              <w:rPr>
                <w:rFonts w:ascii="Times New Roman" w:hAnsi="Times New Roman" w:eastAsia="仿宋"/>
                <w:spacing w:val="-2"/>
                <w:sz w:val="24"/>
                <w:szCs w:val="28"/>
                <w:lang w:eastAsia="zh-CN"/>
              </w:rPr>
              <w:t>经营活动净现金流占营业收入比重（+）（5%）</w:t>
            </w:r>
          </w:p>
        </w:tc>
        <w:tc>
          <w:tcPr>
            <w:tcW w:w="3191"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116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2046"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3719" w:type="dxa"/>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r>
              <w:rPr>
                <w:rFonts w:ascii="Times New Roman" w:hAnsi="Times New Roman" w:eastAsia="仿宋"/>
                <w:spacing w:val="-2"/>
                <w:sz w:val="24"/>
                <w:szCs w:val="28"/>
                <w:lang w:eastAsia="en-US"/>
              </w:rPr>
              <w:t>销售净利率（+）（5%）</w:t>
            </w:r>
          </w:p>
        </w:tc>
        <w:tc>
          <w:tcPr>
            <w:tcW w:w="3191"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en-US"/>
              </w:rPr>
            </w:pPr>
          </w:p>
        </w:tc>
        <w:tc>
          <w:tcPr>
            <w:tcW w:w="116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en-US"/>
              </w:rPr>
            </w:pPr>
          </w:p>
        </w:tc>
        <w:tc>
          <w:tcPr>
            <w:tcW w:w="2046"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en-US"/>
              </w:rPr>
            </w:pPr>
          </w:p>
        </w:tc>
        <w:tc>
          <w:tcPr>
            <w:tcW w:w="3719" w:type="dxa"/>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r>
              <w:rPr>
                <w:rFonts w:ascii="Times New Roman" w:hAnsi="Times New Roman" w:eastAsia="仿宋"/>
                <w:spacing w:val="-10"/>
                <w:sz w:val="24"/>
                <w:szCs w:val="28"/>
                <w:lang w:eastAsia="zh-CN"/>
              </w:rPr>
              <w:t>净资产收益率（+）（</w:t>
            </w:r>
            <w:r>
              <w:rPr>
                <w:rFonts w:ascii="Times New Roman" w:hAnsi="Times New Roman" w:eastAsia="仿宋"/>
                <w:spacing w:val="-2"/>
                <w:sz w:val="24"/>
                <w:szCs w:val="28"/>
                <w:lang w:eastAsia="zh-CN"/>
              </w:rPr>
              <w:t>5%</w:t>
            </w:r>
            <w:r>
              <w:rPr>
                <w:rFonts w:ascii="Times New Roman" w:hAnsi="Times New Roman" w:eastAsia="仿宋"/>
                <w:spacing w:val="-10"/>
                <w:sz w:val="24"/>
                <w:szCs w:val="28"/>
                <w:lang w:eastAsia="zh-CN"/>
              </w:rPr>
              <w:t>）</w:t>
            </w:r>
          </w:p>
        </w:tc>
        <w:tc>
          <w:tcPr>
            <w:tcW w:w="3191"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116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2046" w:type="dxa"/>
            <w:vMerge w:val="restart"/>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r>
              <w:rPr>
                <w:rFonts w:ascii="Times New Roman" w:hAnsi="Times New Roman" w:eastAsia="仿宋"/>
                <w:spacing w:val="-2"/>
                <w:sz w:val="24"/>
                <w:szCs w:val="28"/>
                <w:lang w:eastAsia="en-US"/>
              </w:rPr>
              <w:t>成长能力</w:t>
            </w:r>
            <w:r>
              <w:rPr>
                <w:rFonts w:ascii="Times New Roman" w:hAnsi="Times New Roman" w:eastAsia="仿宋"/>
                <w:spacing w:val="-4"/>
                <w:sz w:val="24"/>
                <w:szCs w:val="28"/>
                <w:lang w:eastAsia="en-US"/>
              </w:rPr>
              <w:t>（15%）</w:t>
            </w:r>
          </w:p>
        </w:tc>
        <w:tc>
          <w:tcPr>
            <w:tcW w:w="3719" w:type="dxa"/>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r>
              <w:rPr>
                <w:rFonts w:ascii="Times New Roman" w:hAnsi="Times New Roman" w:eastAsia="仿宋"/>
                <w:spacing w:val="-2"/>
                <w:sz w:val="24"/>
                <w:szCs w:val="28"/>
                <w:lang w:eastAsia="zh-CN"/>
              </w:rPr>
              <w:t>营业收入增速（+）（7.5%）</w:t>
            </w:r>
          </w:p>
        </w:tc>
        <w:tc>
          <w:tcPr>
            <w:tcW w:w="3191"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116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2046"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3719" w:type="dxa"/>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r>
              <w:rPr>
                <w:rFonts w:ascii="Times New Roman" w:hAnsi="Times New Roman" w:eastAsia="仿宋"/>
                <w:spacing w:val="-2"/>
                <w:sz w:val="24"/>
                <w:szCs w:val="28"/>
                <w:lang w:eastAsia="zh-CN"/>
              </w:rPr>
              <w:t>扣非归母净利润增速</w:t>
            </w:r>
            <w:r>
              <w:rPr>
                <w:rFonts w:ascii="Times New Roman" w:hAnsi="Times New Roman" w:eastAsia="仿宋"/>
                <w:spacing w:val="-5"/>
                <w:sz w:val="24"/>
                <w:szCs w:val="28"/>
                <w:lang w:eastAsia="zh-CN"/>
              </w:rPr>
              <w:t>（+）</w:t>
            </w:r>
            <w:r>
              <w:rPr>
                <w:rFonts w:ascii="Times New Roman" w:hAnsi="Times New Roman" w:eastAsia="仿宋"/>
                <w:spacing w:val="-4"/>
                <w:sz w:val="24"/>
                <w:szCs w:val="28"/>
                <w:lang w:eastAsia="zh-CN"/>
              </w:rPr>
              <w:t>（7.5%）</w:t>
            </w:r>
          </w:p>
        </w:tc>
        <w:tc>
          <w:tcPr>
            <w:tcW w:w="3191"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116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2046"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3719" w:type="dxa"/>
            <w:vAlign w:val="center"/>
          </w:tcPr>
          <w:p>
            <w:pPr>
              <w:pStyle w:val="15"/>
              <w:overflowPunct w:val="0"/>
              <w:adjustRightInd w:val="0"/>
              <w:snapToGrid w:val="0"/>
              <w:spacing w:line="480" w:lineRule="exact"/>
              <w:jc w:val="center"/>
              <w:rPr>
                <w:rFonts w:ascii="Times New Roman" w:hAnsi="Times New Roman" w:eastAsia="仿宋"/>
                <w:spacing w:val="-2"/>
                <w:sz w:val="24"/>
                <w:szCs w:val="28"/>
                <w:lang w:eastAsia="en-US"/>
              </w:rPr>
            </w:pPr>
            <w:r>
              <w:rPr>
                <w:rFonts w:ascii="Times New Roman" w:hAnsi="Times New Roman" w:eastAsia="仿宋"/>
                <w:spacing w:val="-2"/>
                <w:sz w:val="24"/>
                <w:szCs w:val="28"/>
                <w:lang w:eastAsia="en-US"/>
              </w:rPr>
              <w:t>业绩下滑调整</w:t>
            </w:r>
            <w:r>
              <w:rPr>
                <w:rFonts w:hint="eastAsia" w:ascii="Times New Roman" w:hAnsi="Times New Roman" w:eastAsia="仿宋"/>
                <w:spacing w:val="-2"/>
                <w:sz w:val="24"/>
                <w:szCs w:val="28"/>
                <w:lang w:eastAsia="en-US"/>
              </w:rPr>
              <w:t>（-）</w:t>
            </w:r>
          </w:p>
        </w:tc>
        <w:tc>
          <w:tcPr>
            <w:tcW w:w="3191"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en-US"/>
              </w:rPr>
            </w:pPr>
          </w:p>
        </w:tc>
        <w:tc>
          <w:tcPr>
            <w:tcW w:w="116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en-US"/>
              </w:rPr>
            </w:pPr>
          </w:p>
        </w:tc>
        <w:tc>
          <w:tcPr>
            <w:tcW w:w="2046" w:type="dxa"/>
            <w:vMerge w:val="restart"/>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r>
              <w:rPr>
                <w:rFonts w:ascii="Times New Roman" w:hAnsi="Times New Roman" w:eastAsia="仿宋"/>
                <w:spacing w:val="-2"/>
                <w:sz w:val="24"/>
                <w:szCs w:val="28"/>
                <w:lang w:eastAsia="en-US"/>
              </w:rPr>
              <w:t>创新能力</w:t>
            </w:r>
            <w:r>
              <w:rPr>
                <w:rFonts w:ascii="Times New Roman" w:hAnsi="Times New Roman" w:eastAsia="仿宋"/>
                <w:spacing w:val="-4"/>
                <w:sz w:val="24"/>
                <w:szCs w:val="28"/>
                <w:lang w:eastAsia="en-US"/>
              </w:rPr>
              <w:t>（15%）</w:t>
            </w:r>
          </w:p>
        </w:tc>
        <w:tc>
          <w:tcPr>
            <w:tcW w:w="3719" w:type="dxa"/>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r>
              <w:rPr>
                <w:rFonts w:ascii="Times New Roman" w:hAnsi="Times New Roman" w:eastAsia="仿宋"/>
                <w:spacing w:val="-2"/>
                <w:sz w:val="24"/>
                <w:szCs w:val="28"/>
                <w:lang w:eastAsia="zh-CN"/>
              </w:rPr>
              <w:t>研发支出占比（+）（</w:t>
            </w:r>
            <w:r>
              <w:rPr>
                <w:rFonts w:hint="eastAsia" w:ascii="Times New Roman" w:hAnsi="Times New Roman" w:eastAsia="仿宋"/>
                <w:spacing w:val="-2"/>
                <w:sz w:val="24"/>
                <w:szCs w:val="28"/>
                <w:lang w:eastAsia="zh-CN"/>
              </w:rPr>
              <w:t>7.</w:t>
            </w:r>
            <w:r>
              <w:rPr>
                <w:rFonts w:ascii="Times New Roman" w:hAnsi="Times New Roman" w:eastAsia="仿宋"/>
                <w:spacing w:val="-2"/>
                <w:sz w:val="24"/>
                <w:szCs w:val="28"/>
                <w:lang w:eastAsia="zh-CN"/>
              </w:rPr>
              <w:t>5%）</w:t>
            </w:r>
          </w:p>
        </w:tc>
        <w:tc>
          <w:tcPr>
            <w:tcW w:w="3191"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116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2046"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3719" w:type="dxa"/>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r>
              <w:rPr>
                <w:rFonts w:hint="eastAsia" w:ascii="Times New Roman" w:hAnsi="Times New Roman" w:eastAsia="仿宋"/>
                <w:spacing w:val="-2"/>
                <w:sz w:val="24"/>
                <w:szCs w:val="28"/>
                <w:lang w:eastAsia="zh-CN"/>
              </w:rPr>
              <w:t>研发人员占比（+）（7.5%）</w:t>
            </w:r>
          </w:p>
        </w:tc>
        <w:tc>
          <w:tcPr>
            <w:tcW w:w="3191"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1168" w:type="dxa"/>
            <w:vMerge w:val="restart"/>
            <w:vAlign w:val="center"/>
          </w:tcPr>
          <w:p>
            <w:pPr>
              <w:pStyle w:val="15"/>
              <w:overflowPunct w:val="0"/>
              <w:adjustRightInd w:val="0"/>
              <w:snapToGrid w:val="0"/>
              <w:spacing w:line="480" w:lineRule="exact"/>
              <w:jc w:val="center"/>
              <w:rPr>
                <w:rFonts w:ascii="Times New Roman" w:hAnsi="Times New Roman" w:eastAsia="仿宋"/>
                <w:spacing w:val="-4"/>
                <w:sz w:val="24"/>
                <w:szCs w:val="28"/>
                <w:lang w:eastAsia="en-US"/>
              </w:rPr>
            </w:pPr>
            <w:r>
              <w:rPr>
                <w:rFonts w:ascii="Times New Roman" w:hAnsi="Times New Roman" w:eastAsia="仿宋"/>
                <w:spacing w:val="-4"/>
                <w:sz w:val="24"/>
                <w:szCs w:val="28"/>
                <w:lang w:eastAsia="en-US"/>
              </w:rPr>
              <w:t>市场表现评价</w:t>
            </w:r>
            <w:r>
              <w:rPr>
                <w:rFonts w:ascii="Times New Roman" w:hAnsi="Times New Roman" w:eastAsia="仿宋"/>
                <w:spacing w:val="-2"/>
                <w:sz w:val="24"/>
                <w:szCs w:val="28"/>
                <w:lang w:eastAsia="en-US"/>
              </w:rPr>
              <w:t>（20%）</w:t>
            </w:r>
          </w:p>
        </w:tc>
        <w:tc>
          <w:tcPr>
            <w:tcW w:w="2046" w:type="dxa"/>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r>
              <w:rPr>
                <w:rFonts w:ascii="Times New Roman" w:hAnsi="Times New Roman" w:eastAsia="仿宋"/>
                <w:spacing w:val="-19"/>
                <w:sz w:val="24"/>
                <w:szCs w:val="28"/>
                <w:lang w:eastAsia="en-US"/>
              </w:rPr>
              <w:t>投资者回报</w:t>
            </w:r>
            <w:r>
              <w:rPr>
                <w:rFonts w:ascii="Times New Roman" w:hAnsi="Times New Roman" w:eastAsia="仿宋"/>
                <w:spacing w:val="-4"/>
                <w:sz w:val="24"/>
                <w:szCs w:val="28"/>
                <w:lang w:eastAsia="en-US"/>
              </w:rPr>
              <w:t>（10%）</w:t>
            </w:r>
          </w:p>
        </w:tc>
        <w:tc>
          <w:tcPr>
            <w:tcW w:w="3719" w:type="dxa"/>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r>
              <w:rPr>
                <w:rFonts w:ascii="Times New Roman" w:hAnsi="Times New Roman" w:eastAsia="仿宋"/>
                <w:spacing w:val="-2"/>
                <w:sz w:val="24"/>
                <w:szCs w:val="28"/>
                <w:lang w:eastAsia="en-US"/>
              </w:rPr>
              <w:t>年化回报率（+）（10%）</w:t>
            </w:r>
          </w:p>
        </w:tc>
        <w:tc>
          <w:tcPr>
            <w:tcW w:w="3191"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en-US"/>
              </w:rPr>
            </w:pPr>
          </w:p>
        </w:tc>
        <w:tc>
          <w:tcPr>
            <w:tcW w:w="1168"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p>
        </w:tc>
        <w:tc>
          <w:tcPr>
            <w:tcW w:w="2046" w:type="dxa"/>
            <w:vMerge w:val="restart"/>
            <w:vAlign w:val="center"/>
          </w:tcPr>
          <w:p>
            <w:pPr>
              <w:pStyle w:val="15"/>
              <w:overflowPunct w:val="0"/>
              <w:adjustRightInd w:val="0"/>
              <w:snapToGrid w:val="0"/>
              <w:spacing w:line="480" w:lineRule="exact"/>
              <w:jc w:val="center"/>
              <w:rPr>
                <w:rFonts w:ascii="Times New Roman" w:hAnsi="Times New Roman" w:eastAsia="仿宋"/>
                <w:spacing w:val="-2"/>
                <w:sz w:val="24"/>
                <w:szCs w:val="28"/>
                <w:lang w:eastAsia="en-US"/>
              </w:rPr>
            </w:pPr>
            <w:r>
              <w:rPr>
                <w:rFonts w:ascii="Times New Roman" w:hAnsi="Times New Roman" w:eastAsia="仿宋"/>
                <w:spacing w:val="-2"/>
                <w:sz w:val="24"/>
                <w:szCs w:val="28"/>
                <w:lang w:eastAsia="en-US"/>
              </w:rPr>
              <w:t>市场估值</w:t>
            </w:r>
            <w:r>
              <w:rPr>
                <w:rFonts w:ascii="Times New Roman" w:hAnsi="Times New Roman" w:eastAsia="仿宋"/>
                <w:spacing w:val="-4"/>
                <w:sz w:val="24"/>
                <w:szCs w:val="28"/>
                <w:lang w:eastAsia="en-US"/>
              </w:rPr>
              <w:t>（10%）</w:t>
            </w:r>
          </w:p>
        </w:tc>
        <w:tc>
          <w:tcPr>
            <w:tcW w:w="3719" w:type="dxa"/>
            <w:vAlign w:val="center"/>
          </w:tcPr>
          <w:p>
            <w:pPr>
              <w:pStyle w:val="15"/>
              <w:overflowPunct w:val="0"/>
              <w:adjustRightInd w:val="0"/>
              <w:snapToGrid w:val="0"/>
              <w:spacing w:line="480" w:lineRule="exact"/>
              <w:jc w:val="center"/>
              <w:rPr>
                <w:rFonts w:ascii="Times New Roman" w:hAnsi="Times New Roman" w:eastAsia="仿宋"/>
                <w:spacing w:val="-4"/>
                <w:sz w:val="24"/>
                <w:szCs w:val="28"/>
                <w:lang w:eastAsia="en-US"/>
              </w:rPr>
            </w:pPr>
            <w:r>
              <w:rPr>
                <w:rFonts w:ascii="Times New Roman" w:hAnsi="Times New Roman" w:eastAsia="仿宋"/>
                <w:spacing w:val="-4"/>
                <w:sz w:val="24"/>
                <w:szCs w:val="28"/>
                <w:lang w:eastAsia="en-US"/>
              </w:rPr>
              <w:t>总市值</w:t>
            </w:r>
            <w:r>
              <w:rPr>
                <w:rFonts w:hint="eastAsia" w:ascii="Times New Roman" w:hAnsi="Times New Roman" w:eastAsia="仿宋"/>
                <w:spacing w:val="-4"/>
                <w:sz w:val="24"/>
                <w:szCs w:val="28"/>
                <w:lang w:eastAsia="en-US"/>
              </w:rPr>
              <w:t>（+）</w:t>
            </w:r>
            <w:r>
              <w:rPr>
                <w:rFonts w:ascii="Times New Roman" w:hAnsi="Times New Roman" w:eastAsia="仿宋"/>
                <w:spacing w:val="-2"/>
                <w:sz w:val="24"/>
                <w:szCs w:val="28"/>
                <w:lang w:eastAsia="en-US"/>
              </w:rPr>
              <w:t>（3.33%）</w:t>
            </w:r>
          </w:p>
        </w:tc>
        <w:tc>
          <w:tcPr>
            <w:tcW w:w="3191"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en-US"/>
              </w:rPr>
            </w:pPr>
          </w:p>
        </w:tc>
        <w:tc>
          <w:tcPr>
            <w:tcW w:w="1168"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p>
        </w:tc>
        <w:tc>
          <w:tcPr>
            <w:tcW w:w="2046"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p>
        </w:tc>
        <w:tc>
          <w:tcPr>
            <w:tcW w:w="3719" w:type="dxa"/>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r>
              <w:rPr>
                <w:rFonts w:ascii="Times New Roman" w:hAnsi="Times New Roman" w:eastAsia="仿宋"/>
                <w:spacing w:val="-4"/>
                <w:sz w:val="24"/>
                <w:szCs w:val="28"/>
                <w:lang w:eastAsia="zh-CN"/>
              </w:rPr>
              <w:t>总市值增长率（+）</w:t>
            </w:r>
            <w:r>
              <w:rPr>
                <w:rFonts w:ascii="Times New Roman" w:hAnsi="Times New Roman" w:eastAsia="仿宋"/>
                <w:spacing w:val="-2"/>
                <w:sz w:val="24"/>
                <w:szCs w:val="28"/>
                <w:lang w:eastAsia="zh-CN"/>
              </w:rPr>
              <w:t>（3.33%）</w:t>
            </w:r>
          </w:p>
        </w:tc>
        <w:tc>
          <w:tcPr>
            <w:tcW w:w="3191"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1168" w:type="dxa"/>
            <w:vMerge w:val="continue"/>
            <w:vAlign w:val="center"/>
          </w:tcPr>
          <w:p>
            <w:pPr>
              <w:pStyle w:val="15"/>
              <w:overflowPunct w:val="0"/>
              <w:adjustRightInd w:val="0"/>
              <w:snapToGrid w:val="0"/>
              <w:spacing w:line="480" w:lineRule="exact"/>
              <w:jc w:val="center"/>
              <w:rPr>
                <w:rFonts w:ascii="Times New Roman" w:hAnsi="Times New Roman" w:eastAsia="仿宋"/>
                <w:spacing w:val="-4"/>
                <w:sz w:val="24"/>
                <w:szCs w:val="28"/>
                <w:lang w:eastAsia="zh-CN"/>
              </w:rPr>
            </w:pPr>
          </w:p>
        </w:tc>
        <w:tc>
          <w:tcPr>
            <w:tcW w:w="2046" w:type="dxa"/>
            <w:vMerge w:val="continue"/>
            <w:vAlign w:val="center"/>
          </w:tcPr>
          <w:p>
            <w:pPr>
              <w:pStyle w:val="15"/>
              <w:overflowPunct w:val="0"/>
              <w:adjustRightInd w:val="0"/>
              <w:snapToGrid w:val="0"/>
              <w:spacing w:line="480" w:lineRule="exact"/>
              <w:jc w:val="center"/>
              <w:rPr>
                <w:rFonts w:ascii="Times New Roman" w:hAnsi="Times New Roman" w:eastAsia="仿宋"/>
                <w:spacing w:val="-2"/>
                <w:sz w:val="24"/>
                <w:szCs w:val="28"/>
                <w:lang w:eastAsia="zh-CN"/>
              </w:rPr>
            </w:pPr>
          </w:p>
        </w:tc>
        <w:tc>
          <w:tcPr>
            <w:tcW w:w="3719" w:type="dxa"/>
            <w:vAlign w:val="center"/>
          </w:tcPr>
          <w:p>
            <w:pPr>
              <w:pStyle w:val="15"/>
              <w:overflowPunct w:val="0"/>
              <w:adjustRightInd w:val="0"/>
              <w:snapToGrid w:val="0"/>
              <w:spacing w:line="480" w:lineRule="exact"/>
              <w:jc w:val="center"/>
              <w:rPr>
                <w:rFonts w:ascii="Times New Roman" w:hAnsi="Times New Roman" w:eastAsia="仿宋"/>
                <w:spacing w:val="-4"/>
                <w:sz w:val="24"/>
                <w:szCs w:val="28"/>
                <w:lang w:eastAsia="zh-CN"/>
              </w:rPr>
            </w:pPr>
            <w:r>
              <w:rPr>
                <w:rFonts w:hint="eastAsia" w:ascii="Times New Roman" w:hAnsi="Times New Roman" w:eastAsia="仿宋"/>
                <w:spacing w:val="-2"/>
                <w:sz w:val="24"/>
                <w:szCs w:val="28"/>
                <w:lang w:eastAsia="zh-CN"/>
              </w:rPr>
              <w:t>纳入市场指数</w:t>
            </w:r>
            <w:r>
              <w:rPr>
                <w:rFonts w:ascii="Times New Roman" w:hAnsi="Times New Roman" w:eastAsia="仿宋"/>
                <w:spacing w:val="-2"/>
                <w:sz w:val="24"/>
                <w:szCs w:val="28"/>
                <w:lang w:eastAsia="zh-CN"/>
              </w:rPr>
              <w:t>情况</w:t>
            </w:r>
            <w:r>
              <w:rPr>
                <w:rFonts w:hint="eastAsia" w:ascii="Times New Roman" w:hAnsi="Times New Roman" w:eastAsia="仿宋"/>
                <w:spacing w:val="-2"/>
                <w:sz w:val="24"/>
                <w:szCs w:val="28"/>
                <w:lang w:eastAsia="zh-CN"/>
              </w:rPr>
              <w:t>（+）</w:t>
            </w:r>
            <w:r>
              <w:rPr>
                <w:rFonts w:ascii="Times New Roman" w:hAnsi="Times New Roman" w:eastAsia="仿宋"/>
                <w:spacing w:val="-2"/>
                <w:sz w:val="24"/>
                <w:szCs w:val="28"/>
                <w:lang w:eastAsia="zh-CN"/>
              </w:rPr>
              <w:t>（3.33%）</w:t>
            </w:r>
          </w:p>
        </w:tc>
        <w:tc>
          <w:tcPr>
            <w:tcW w:w="3191" w:type="dxa"/>
            <w:vAlign w:val="center"/>
          </w:tcPr>
          <w:p>
            <w:pPr>
              <w:overflowPunct w:val="0"/>
              <w:adjustRightInd w:val="0"/>
              <w:snapToGrid w:val="0"/>
              <w:spacing w:line="480" w:lineRule="exact"/>
              <w:jc w:val="center"/>
              <w:rPr>
                <w:rFonts w:ascii="Times New Roman" w:hAnsi="Times New Roman" w:eastAsia="仿宋"/>
                <w:sz w:val="24"/>
                <w:szCs w:val="28"/>
                <w:lang w:eastAsia="zh-CN"/>
              </w:rPr>
            </w:pPr>
            <w:r>
              <w:rPr>
                <w:rFonts w:hint="eastAsia" w:ascii="Times New Roman" w:hAnsi="Times New Roman" w:eastAsia="仿宋"/>
                <w:sz w:val="24"/>
                <w:szCs w:val="28"/>
                <w:lang w:eastAsia="zh-CN"/>
              </w:rPr>
              <w:t>评价年度公司持续</w:t>
            </w:r>
            <w:r>
              <w:rPr>
                <w:rFonts w:ascii="Times New Roman" w:hAnsi="Times New Roman" w:eastAsia="仿宋"/>
                <w:sz w:val="24"/>
                <w:szCs w:val="28"/>
                <w:lang w:eastAsia="zh-CN"/>
              </w:rPr>
              <w:t>纳入北证</w:t>
            </w:r>
            <w:r>
              <w:rPr>
                <w:rFonts w:hint="eastAsia" w:ascii="Times New Roman" w:hAnsi="Times New Roman" w:eastAsia="仿宋"/>
                <w:sz w:val="24"/>
                <w:szCs w:val="28"/>
                <w:lang w:eastAsia="zh-CN"/>
              </w:rPr>
              <w:t>5</w:t>
            </w:r>
            <w:r>
              <w:rPr>
                <w:rFonts w:ascii="Times New Roman" w:hAnsi="Times New Roman" w:eastAsia="仿宋"/>
                <w:sz w:val="24"/>
                <w:szCs w:val="28"/>
                <w:lang w:eastAsia="zh-CN"/>
              </w:rPr>
              <w:t>0</w:t>
            </w:r>
            <w:r>
              <w:rPr>
                <w:rFonts w:hint="eastAsia" w:ascii="Times New Roman" w:hAnsi="Times New Roman" w:eastAsia="仿宋"/>
                <w:sz w:val="24"/>
                <w:szCs w:val="28"/>
                <w:lang w:eastAsia="zh-CN"/>
              </w:rPr>
              <w:t>等北交所指数</w:t>
            </w:r>
            <w:r>
              <w:rPr>
                <w:rFonts w:ascii="Times New Roman" w:hAnsi="Times New Roman" w:eastAsia="仿宋"/>
                <w:sz w:val="24"/>
                <w:szCs w:val="28"/>
                <w:lang w:eastAsia="zh-CN"/>
              </w:rPr>
              <w:t>的</w:t>
            </w:r>
            <w:r>
              <w:rPr>
                <w:rFonts w:hint="eastAsia" w:ascii="Times New Roman" w:hAnsi="Times New Roman" w:eastAsia="仿宋"/>
                <w:sz w:val="24"/>
                <w:szCs w:val="28"/>
                <w:lang w:eastAsia="zh-CN"/>
              </w:rPr>
              <w:t>赋值100分</w:t>
            </w:r>
            <w:r>
              <w:rPr>
                <w:rFonts w:ascii="Times New Roman" w:hAnsi="Times New Roman" w:eastAsia="仿宋"/>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1168" w:type="dxa"/>
            <w:vMerge w:val="restart"/>
            <w:vAlign w:val="center"/>
          </w:tcPr>
          <w:p>
            <w:pPr>
              <w:pStyle w:val="15"/>
              <w:overflowPunct w:val="0"/>
              <w:adjustRightInd w:val="0"/>
              <w:snapToGrid w:val="0"/>
              <w:spacing w:line="480" w:lineRule="exact"/>
              <w:jc w:val="center"/>
              <w:rPr>
                <w:rFonts w:ascii="Times New Roman" w:hAnsi="Times New Roman" w:eastAsia="仿宋"/>
                <w:spacing w:val="-4"/>
                <w:sz w:val="24"/>
                <w:szCs w:val="28"/>
                <w:lang w:eastAsia="en-US"/>
              </w:rPr>
            </w:pPr>
            <w:r>
              <w:rPr>
                <w:rFonts w:ascii="Times New Roman" w:hAnsi="Times New Roman" w:eastAsia="仿宋"/>
                <w:spacing w:val="-4"/>
                <w:sz w:val="24"/>
                <w:szCs w:val="28"/>
                <w:lang w:eastAsia="en-US"/>
              </w:rPr>
              <w:t>公司</w:t>
            </w:r>
            <w:r>
              <w:rPr>
                <w:rFonts w:hint="eastAsia" w:ascii="Times New Roman" w:hAnsi="Times New Roman" w:eastAsia="仿宋"/>
                <w:spacing w:val="-4"/>
                <w:sz w:val="24"/>
                <w:szCs w:val="28"/>
                <w:lang w:eastAsia="en-US"/>
              </w:rPr>
              <w:t>治理</w:t>
            </w:r>
            <w:r>
              <w:rPr>
                <w:rFonts w:ascii="Times New Roman" w:hAnsi="Times New Roman" w:eastAsia="仿宋"/>
                <w:spacing w:val="-4"/>
                <w:sz w:val="24"/>
                <w:szCs w:val="28"/>
                <w:lang w:eastAsia="en-US"/>
              </w:rPr>
              <w:t>质量</w:t>
            </w:r>
            <w:r>
              <w:rPr>
                <w:rFonts w:ascii="Times New Roman" w:hAnsi="Times New Roman" w:eastAsia="仿宋"/>
                <w:spacing w:val="-2"/>
                <w:sz w:val="24"/>
                <w:szCs w:val="28"/>
                <w:lang w:eastAsia="en-US"/>
              </w:rPr>
              <w:t>（20%）</w:t>
            </w:r>
          </w:p>
        </w:tc>
        <w:tc>
          <w:tcPr>
            <w:tcW w:w="2046" w:type="dxa"/>
            <w:vAlign w:val="center"/>
          </w:tcPr>
          <w:p>
            <w:pPr>
              <w:pStyle w:val="15"/>
              <w:overflowPunct w:val="0"/>
              <w:adjustRightInd w:val="0"/>
              <w:snapToGrid w:val="0"/>
              <w:spacing w:line="480" w:lineRule="exact"/>
              <w:jc w:val="center"/>
              <w:rPr>
                <w:rFonts w:ascii="Times New Roman" w:hAnsi="Times New Roman" w:eastAsia="仿宋"/>
                <w:spacing w:val="-2"/>
                <w:sz w:val="24"/>
                <w:szCs w:val="28"/>
                <w:lang w:eastAsia="en-US"/>
              </w:rPr>
            </w:pPr>
            <w:r>
              <w:rPr>
                <w:rFonts w:ascii="Times New Roman" w:hAnsi="Times New Roman" w:eastAsia="仿宋"/>
                <w:spacing w:val="-2"/>
                <w:sz w:val="24"/>
                <w:szCs w:val="28"/>
                <w:lang w:eastAsia="en-US"/>
              </w:rPr>
              <w:t>信息披露</w:t>
            </w:r>
            <w:r>
              <w:rPr>
                <w:rFonts w:hint="eastAsia" w:ascii="Times New Roman" w:hAnsi="Times New Roman" w:eastAsia="仿宋"/>
                <w:spacing w:val="-2"/>
                <w:sz w:val="24"/>
                <w:szCs w:val="28"/>
                <w:lang w:eastAsia="en-US"/>
              </w:rPr>
              <w:t>（1</w:t>
            </w:r>
            <w:r>
              <w:rPr>
                <w:rFonts w:ascii="Times New Roman" w:hAnsi="Times New Roman" w:eastAsia="仿宋"/>
                <w:spacing w:val="-2"/>
                <w:sz w:val="24"/>
                <w:szCs w:val="28"/>
                <w:lang w:eastAsia="en-US"/>
              </w:rPr>
              <w:t>0</w:t>
            </w:r>
            <w:r>
              <w:rPr>
                <w:rFonts w:hint="eastAsia" w:ascii="Times New Roman" w:hAnsi="Times New Roman" w:eastAsia="仿宋"/>
                <w:spacing w:val="-2"/>
                <w:sz w:val="24"/>
                <w:szCs w:val="28"/>
                <w:lang w:eastAsia="en-US"/>
              </w:rPr>
              <w:t>%）</w:t>
            </w:r>
          </w:p>
        </w:tc>
        <w:tc>
          <w:tcPr>
            <w:tcW w:w="3719" w:type="dxa"/>
            <w:vAlign w:val="center"/>
          </w:tcPr>
          <w:p>
            <w:pPr>
              <w:pStyle w:val="15"/>
              <w:overflowPunct w:val="0"/>
              <w:adjustRightInd w:val="0"/>
              <w:snapToGrid w:val="0"/>
              <w:spacing w:line="480" w:lineRule="exact"/>
              <w:jc w:val="center"/>
              <w:rPr>
                <w:rFonts w:ascii="Times New Roman" w:hAnsi="Times New Roman" w:eastAsia="仿宋"/>
                <w:spacing w:val="-2"/>
                <w:sz w:val="24"/>
                <w:szCs w:val="28"/>
                <w:lang w:eastAsia="zh-CN"/>
              </w:rPr>
            </w:pPr>
            <w:r>
              <w:rPr>
                <w:rFonts w:hint="eastAsia" w:ascii="Times New Roman" w:hAnsi="Times New Roman" w:eastAsia="仿宋"/>
                <w:spacing w:val="-2"/>
                <w:sz w:val="24"/>
                <w:szCs w:val="28"/>
                <w:lang w:eastAsia="zh-CN"/>
              </w:rPr>
              <w:t>信息披露评级（+）（1</w:t>
            </w:r>
            <w:r>
              <w:rPr>
                <w:rFonts w:ascii="Times New Roman" w:hAnsi="Times New Roman" w:eastAsia="仿宋"/>
                <w:spacing w:val="-2"/>
                <w:sz w:val="24"/>
                <w:szCs w:val="28"/>
                <w:lang w:eastAsia="zh-CN"/>
              </w:rPr>
              <w:t>0</w:t>
            </w:r>
            <w:r>
              <w:rPr>
                <w:rFonts w:hint="eastAsia" w:ascii="Times New Roman" w:hAnsi="Times New Roman" w:eastAsia="仿宋"/>
                <w:spacing w:val="-2"/>
                <w:sz w:val="24"/>
                <w:szCs w:val="28"/>
                <w:lang w:eastAsia="zh-CN"/>
              </w:rPr>
              <w:t>%）</w:t>
            </w:r>
          </w:p>
        </w:tc>
        <w:tc>
          <w:tcPr>
            <w:tcW w:w="3191" w:type="dxa"/>
            <w:vAlign w:val="center"/>
          </w:tcPr>
          <w:p>
            <w:pPr>
              <w:pStyle w:val="15"/>
              <w:overflowPunct w:val="0"/>
              <w:adjustRightInd w:val="0"/>
              <w:snapToGrid w:val="0"/>
              <w:spacing w:line="480" w:lineRule="exact"/>
              <w:jc w:val="center"/>
              <w:rPr>
                <w:rFonts w:ascii="Times New Roman" w:hAnsi="Times New Roman" w:eastAsia="仿宋"/>
                <w:spacing w:val="-7"/>
                <w:sz w:val="24"/>
                <w:szCs w:val="28"/>
                <w:lang w:eastAsia="zh-CN"/>
              </w:rPr>
            </w:pPr>
            <w:r>
              <w:rPr>
                <w:rFonts w:hint="eastAsia" w:ascii="Times New Roman" w:hAnsi="Times New Roman" w:eastAsia="仿宋"/>
                <w:spacing w:val="-7"/>
                <w:sz w:val="24"/>
                <w:szCs w:val="28"/>
                <w:lang w:eastAsia="zh-CN"/>
              </w:rPr>
              <w:t>A类赋值1</w:t>
            </w:r>
            <w:r>
              <w:rPr>
                <w:rFonts w:ascii="Times New Roman" w:hAnsi="Times New Roman" w:eastAsia="仿宋"/>
                <w:spacing w:val="-7"/>
                <w:sz w:val="24"/>
                <w:szCs w:val="28"/>
                <w:lang w:eastAsia="zh-CN"/>
              </w:rPr>
              <w:t>00</w:t>
            </w:r>
            <w:r>
              <w:rPr>
                <w:rFonts w:hint="eastAsia" w:ascii="Times New Roman" w:hAnsi="Times New Roman" w:eastAsia="仿宋"/>
                <w:spacing w:val="-7"/>
                <w:sz w:val="24"/>
                <w:szCs w:val="28"/>
                <w:lang w:eastAsia="zh-CN"/>
              </w:rPr>
              <w:t>，B类赋值6</w:t>
            </w:r>
            <w:r>
              <w:rPr>
                <w:rFonts w:ascii="Times New Roman" w:hAnsi="Times New Roman" w:eastAsia="仿宋"/>
                <w:spacing w:val="-7"/>
                <w:sz w:val="24"/>
                <w:szCs w:val="28"/>
                <w:lang w:eastAsia="zh-CN"/>
              </w:rPr>
              <w:t>0</w:t>
            </w:r>
            <w:r>
              <w:rPr>
                <w:rFonts w:hint="eastAsia" w:ascii="Times New Roman" w:hAnsi="Times New Roman" w:eastAsia="仿宋"/>
                <w:spacing w:val="-7"/>
                <w:sz w:val="24"/>
                <w:szCs w:val="28"/>
                <w:lang w:eastAsia="zh-CN"/>
              </w:rPr>
              <w:t>，C类赋值3</w:t>
            </w:r>
            <w:r>
              <w:rPr>
                <w:rFonts w:ascii="Times New Roman" w:hAnsi="Times New Roman" w:eastAsia="仿宋"/>
                <w:spacing w:val="-7"/>
                <w:sz w:val="24"/>
                <w:szCs w:val="28"/>
                <w:lang w:eastAsia="zh-CN"/>
              </w:rPr>
              <w:t>0</w:t>
            </w:r>
            <w:r>
              <w:rPr>
                <w:rFonts w:hint="eastAsia" w:ascii="Times New Roman" w:hAnsi="Times New Roman" w:eastAsia="仿宋"/>
                <w:spacing w:val="-7"/>
                <w:sz w:val="24"/>
                <w:szCs w:val="28"/>
                <w:lang w:eastAsia="zh-CN"/>
              </w:rPr>
              <w:t>，D类赋值0。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018" w:type="dxa"/>
            <w:vMerge w:val="continue"/>
            <w:vAlign w:val="center"/>
          </w:tcPr>
          <w:p>
            <w:pPr>
              <w:overflowPunct w:val="0"/>
              <w:adjustRightInd w:val="0"/>
              <w:snapToGrid w:val="0"/>
              <w:spacing w:line="480" w:lineRule="exact"/>
              <w:jc w:val="center"/>
              <w:rPr>
                <w:rFonts w:ascii="Times New Roman" w:hAnsi="Times New Roman" w:eastAsia="仿宋"/>
                <w:sz w:val="24"/>
                <w:szCs w:val="28"/>
                <w:lang w:eastAsia="zh-CN"/>
              </w:rPr>
            </w:pPr>
          </w:p>
        </w:tc>
        <w:tc>
          <w:tcPr>
            <w:tcW w:w="1168" w:type="dxa"/>
            <w:vMerge w:val="continue"/>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p>
        </w:tc>
        <w:tc>
          <w:tcPr>
            <w:tcW w:w="2046" w:type="dxa"/>
            <w:vAlign w:val="center"/>
          </w:tcPr>
          <w:p>
            <w:pPr>
              <w:pStyle w:val="15"/>
              <w:overflowPunct w:val="0"/>
              <w:adjustRightInd w:val="0"/>
              <w:snapToGrid w:val="0"/>
              <w:spacing w:line="480" w:lineRule="exact"/>
              <w:jc w:val="center"/>
              <w:rPr>
                <w:rFonts w:ascii="Times New Roman" w:hAnsi="Times New Roman" w:eastAsia="仿宋"/>
                <w:sz w:val="24"/>
                <w:szCs w:val="28"/>
                <w:lang w:eastAsia="en-US"/>
              </w:rPr>
            </w:pPr>
            <w:r>
              <w:rPr>
                <w:rFonts w:ascii="Times New Roman" w:hAnsi="Times New Roman" w:eastAsia="仿宋"/>
                <w:spacing w:val="-2"/>
                <w:sz w:val="24"/>
                <w:szCs w:val="28"/>
                <w:lang w:eastAsia="en-US"/>
              </w:rPr>
              <w:t>监管合规</w:t>
            </w:r>
            <w:r>
              <w:rPr>
                <w:rFonts w:ascii="Times New Roman" w:hAnsi="Times New Roman" w:eastAsia="仿宋"/>
                <w:spacing w:val="-4"/>
                <w:sz w:val="24"/>
                <w:szCs w:val="28"/>
                <w:lang w:eastAsia="en-US"/>
              </w:rPr>
              <w:t>（10%）</w:t>
            </w:r>
          </w:p>
        </w:tc>
        <w:tc>
          <w:tcPr>
            <w:tcW w:w="3719" w:type="dxa"/>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r>
              <w:rPr>
                <w:rFonts w:hint="eastAsia" w:ascii="Times New Roman" w:hAnsi="Times New Roman" w:eastAsia="仿宋"/>
                <w:spacing w:val="-2"/>
                <w:sz w:val="24"/>
                <w:szCs w:val="28"/>
                <w:lang w:eastAsia="zh-CN"/>
              </w:rPr>
              <w:t>行政监管处罚</w:t>
            </w:r>
            <w:r>
              <w:rPr>
                <w:rFonts w:ascii="Times New Roman" w:hAnsi="Times New Roman" w:eastAsia="仿宋"/>
                <w:spacing w:val="-2"/>
                <w:sz w:val="24"/>
                <w:szCs w:val="28"/>
                <w:lang w:eastAsia="zh-CN"/>
              </w:rPr>
              <w:t>（-）（10%）</w:t>
            </w:r>
          </w:p>
        </w:tc>
        <w:tc>
          <w:tcPr>
            <w:tcW w:w="3191" w:type="dxa"/>
            <w:vAlign w:val="center"/>
          </w:tcPr>
          <w:p>
            <w:pPr>
              <w:pStyle w:val="15"/>
              <w:overflowPunct w:val="0"/>
              <w:adjustRightInd w:val="0"/>
              <w:snapToGrid w:val="0"/>
              <w:spacing w:line="480" w:lineRule="exact"/>
              <w:jc w:val="center"/>
              <w:rPr>
                <w:rFonts w:ascii="Times New Roman" w:hAnsi="Times New Roman" w:eastAsia="仿宋"/>
                <w:sz w:val="24"/>
                <w:szCs w:val="28"/>
                <w:lang w:eastAsia="zh-CN"/>
              </w:rPr>
            </w:pPr>
            <w:r>
              <w:rPr>
                <w:rFonts w:ascii="Times New Roman" w:hAnsi="Times New Roman" w:eastAsia="仿宋"/>
                <w:spacing w:val="-7"/>
                <w:sz w:val="24"/>
                <w:szCs w:val="28"/>
                <w:lang w:eastAsia="zh-CN"/>
              </w:rPr>
              <w:t>初始赋值100分，按照处罚次数累加扣分。其中</w:t>
            </w:r>
            <w:r>
              <w:rPr>
                <w:rFonts w:hint="eastAsia" w:ascii="Times New Roman" w:hAnsi="Times New Roman" w:eastAsia="仿宋"/>
                <w:spacing w:val="-7"/>
                <w:sz w:val="24"/>
                <w:szCs w:val="28"/>
                <w:lang w:eastAsia="zh-CN"/>
              </w:rPr>
              <w:t>，</w:t>
            </w:r>
            <w:r>
              <w:rPr>
                <w:rFonts w:ascii="Times New Roman" w:hAnsi="Times New Roman" w:eastAsia="仿宋"/>
                <w:spacing w:val="-7"/>
                <w:sz w:val="24"/>
                <w:szCs w:val="28"/>
                <w:lang w:eastAsia="zh-CN"/>
              </w:rPr>
              <w:t>行政监管措施扣20分，行政处罚扣40分</w:t>
            </w:r>
            <w:r>
              <w:rPr>
                <w:rFonts w:hint="eastAsia" w:ascii="Times New Roman" w:hAnsi="Times New Roman" w:eastAsia="仿宋"/>
                <w:spacing w:val="-7"/>
                <w:sz w:val="24"/>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018" w:type="dxa"/>
            <w:vAlign w:val="center"/>
          </w:tcPr>
          <w:p>
            <w:pPr>
              <w:pStyle w:val="15"/>
              <w:overflowPunct w:val="0"/>
              <w:adjustRightInd w:val="0"/>
              <w:snapToGrid w:val="0"/>
              <w:spacing w:line="480" w:lineRule="exact"/>
              <w:jc w:val="center"/>
              <w:rPr>
                <w:rFonts w:ascii="Times New Roman" w:hAnsi="Times New Roman" w:eastAsia="仿宋"/>
                <w:spacing w:val="-7"/>
                <w:sz w:val="24"/>
                <w:szCs w:val="28"/>
                <w:lang w:eastAsia="en-US"/>
              </w:rPr>
            </w:pPr>
            <w:r>
              <w:rPr>
                <w:rFonts w:ascii="Times New Roman" w:hAnsi="Times New Roman" w:eastAsia="仿宋"/>
                <w:spacing w:val="-7"/>
                <w:sz w:val="24"/>
                <w:szCs w:val="28"/>
                <w:lang w:eastAsia="en-US"/>
              </w:rPr>
              <w:t>保荐业务质量（10%）</w:t>
            </w:r>
          </w:p>
        </w:tc>
        <w:tc>
          <w:tcPr>
            <w:tcW w:w="1168" w:type="dxa"/>
            <w:vAlign w:val="center"/>
          </w:tcPr>
          <w:p>
            <w:pPr>
              <w:pStyle w:val="15"/>
              <w:overflowPunct w:val="0"/>
              <w:adjustRightInd w:val="0"/>
              <w:snapToGrid w:val="0"/>
              <w:spacing w:line="480" w:lineRule="exact"/>
              <w:jc w:val="center"/>
              <w:rPr>
                <w:rFonts w:ascii="Times New Roman" w:hAnsi="Times New Roman" w:eastAsia="仿宋"/>
                <w:spacing w:val="-7"/>
                <w:sz w:val="24"/>
                <w:szCs w:val="28"/>
                <w:lang w:eastAsia="en-US"/>
              </w:rPr>
            </w:pPr>
            <w:r>
              <w:rPr>
                <w:rFonts w:hint="eastAsia" w:ascii="Times New Roman" w:hAnsi="Times New Roman" w:eastAsia="仿宋"/>
                <w:spacing w:val="-7"/>
                <w:sz w:val="24"/>
                <w:szCs w:val="28"/>
                <w:lang w:eastAsia="en-US"/>
              </w:rPr>
              <w:t>执业质量评价</w:t>
            </w:r>
            <w:r>
              <w:rPr>
                <w:rFonts w:ascii="Times New Roman" w:hAnsi="Times New Roman" w:eastAsia="仿宋"/>
                <w:spacing w:val="-7"/>
                <w:sz w:val="24"/>
                <w:szCs w:val="28"/>
                <w:lang w:eastAsia="en-US"/>
              </w:rPr>
              <w:t>（10%）</w:t>
            </w:r>
          </w:p>
        </w:tc>
        <w:tc>
          <w:tcPr>
            <w:tcW w:w="2046" w:type="dxa"/>
            <w:vAlign w:val="center"/>
          </w:tcPr>
          <w:p>
            <w:pPr>
              <w:pStyle w:val="15"/>
              <w:overflowPunct w:val="0"/>
              <w:adjustRightInd w:val="0"/>
              <w:snapToGrid w:val="0"/>
              <w:spacing w:line="480" w:lineRule="exact"/>
              <w:jc w:val="center"/>
              <w:rPr>
                <w:rFonts w:ascii="Times New Roman" w:hAnsi="Times New Roman" w:eastAsia="仿宋"/>
                <w:spacing w:val="-7"/>
                <w:sz w:val="24"/>
                <w:szCs w:val="28"/>
                <w:lang w:eastAsia="en-US"/>
              </w:rPr>
            </w:pPr>
            <w:r>
              <w:rPr>
                <w:rFonts w:hint="eastAsia" w:ascii="Times New Roman" w:hAnsi="Times New Roman" w:eastAsia="仿宋"/>
                <w:spacing w:val="-7"/>
                <w:sz w:val="24"/>
                <w:szCs w:val="28"/>
                <w:lang w:eastAsia="en-US"/>
              </w:rPr>
              <w:t>保荐业务评价</w:t>
            </w:r>
            <w:r>
              <w:rPr>
                <w:rFonts w:ascii="Times New Roman" w:hAnsi="Times New Roman" w:eastAsia="仿宋"/>
                <w:spacing w:val="-7"/>
                <w:sz w:val="24"/>
                <w:szCs w:val="28"/>
                <w:lang w:eastAsia="en-US"/>
              </w:rPr>
              <w:t>（10%）</w:t>
            </w:r>
          </w:p>
        </w:tc>
        <w:tc>
          <w:tcPr>
            <w:tcW w:w="3719" w:type="dxa"/>
            <w:vAlign w:val="center"/>
          </w:tcPr>
          <w:p>
            <w:pPr>
              <w:pStyle w:val="15"/>
              <w:overflowPunct w:val="0"/>
              <w:adjustRightInd w:val="0"/>
              <w:snapToGrid w:val="0"/>
              <w:spacing w:line="480" w:lineRule="exact"/>
              <w:jc w:val="center"/>
              <w:rPr>
                <w:rFonts w:ascii="Times New Roman" w:hAnsi="Times New Roman" w:eastAsia="仿宋"/>
                <w:spacing w:val="-7"/>
                <w:sz w:val="24"/>
                <w:szCs w:val="28"/>
                <w:lang w:eastAsia="zh-CN"/>
              </w:rPr>
            </w:pPr>
            <w:r>
              <w:rPr>
                <w:rFonts w:hint="eastAsia" w:ascii="Times New Roman" w:hAnsi="Times New Roman" w:eastAsia="仿宋"/>
                <w:spacing w:val="-7"/>
                <w:sz w:val="24"/>
                <w:szCs w:val="28"/>
                <w:lang w:eastAsia="zh-CN"/>
              </w:rPr>
              <w:t>保荐</w:t>
            </w:r>
            <w:r>
              <w:rPr>
                <w:rFonts w:ascii="Times New Roman" w:hAnsi="Times New Roman" w:eastAsia="仿宋"/>
                <w:spacing w:val="-7"/>
                <w:sz w:val="24"/>
                <w:szCs w:val="28"/>
                <w:lang w:eastAsia="zh-CN"/>
              </w:rPr>
              <w:t>业务</w:t>
            </w:r>
            <w:r>
              <w:rPr>
                <w:rFonts w:hint="eastAsia" w:ascii="Times New Roman" w:hAnsi="Times New Roman" w:eastAsia="仿宋"/>
                <w:spacing w:val="-7"/>
                <w:sz w:val="24"/>
                <w:szCs w:val="28"/>
                <w:lang w:eastAsia="zh-CN"/>
              </w:rPr>
              <w:t>评价</w:t>
            </w:r>
            <w:r>
              <w:rPr>
                <w:rFonts w:ascii="Times New Roman" w:hAnsi="Times New Roman" w:eastAsia="仿宋"/>
                <w:spacing w:val="-7"/>
                <w:sz w:val="24"/>
                <w:szCs w:val="28"/>
                <w:lang w:eastAsia="zh-CN"/>
              </w:rPr>
              <w:t>（+）（10%）</w:t>
            </w:r>
          </w:p>
        </w:tc>
        <w:tc>
          <w:tcPr>
            <w:tcW w:w="3191" w:type="dxa"/>
            <w:vAlign w:val="center"/>
          </w:tcPr>
          <w:p>
            <w:pPr>
              <w:pStyle w:val="15"/>
              <w:overflowPunct w:val="0"/>
              <w:adjustRightInd w:val="0"/>
              <w:snapToGrid w:val="0"/>
              <w:spacing w:line="480" w:lineRule="exact"/>
              <w:jc w:val="center"/>
              <w:rPr>
                <w:rFonts w:ascii="Times New Roman" w:hAnsi="Times New Roman" w:eastAsia="仿宋"/>
                <w:spacing w:val="-7"/>
                <w:sz w:val="24"/>
                <w:szCs w:val="28"/>
                <w:lang w:eastAsia="zh-CN"/>
              </w:rPr>
            </w:pPr>
            <w:r>
              <w:rPr>
                <w:rFonts w:hint="eastAsia" w:ascii="Times New Roman" w:hAnsi="Times New Roman" w:eastAsia="仿宋"/>
                <w:spacing w:val="-7"/>
                <w:sz w:val="24"/>
                <w:szCs w:val="28"/>
                <w:lang w:eastAsia="zh-CN"/>
              </w:rPr>
              <w:t>按评价年度评分结果折算赋值。</w:t>
            </w:r>
            <w:r>
              <w:rPr>
                <w:rFonts w:ascii="Times New Roman" w:hAnsi="Times New Roman" w:eastAsia="仿宋"/>
                <w:spacing w:val="-7"/>
                <w:sz w:val="24"/>
                <w:szCs w:val="28"/>
                <w:lang w:eastAsia="zh-CN"/>
              </w:rPr>
              <w:t>具体评分结果</w:t>
            </w:r>
            <w:r>
              <w:rPr>
                <w:rFonts w:hint="eastAsia" w:ascii="Times New Roman" w:hAnsi="Times New Roman" w:eastAsia="仿宋"/>
                <w:spacing w:val="-7"/>
                <w:sz w:val="24"/>
                <w:szCs w:val="28"/>
                <w:lang w:eastAsia="zh-CN"/>
              </w:rPr>
              <w:t>按照执业质量评价中的保荐业务</w:t>
            </w:r>
            <w:r>
              <w:rPr>
                <w:rFonts w:ascii="Times New Roman" w:hAnsi="Times New Roman" w:eastAsia="仿宋"/>
                <w:spacing w:val="-7"/>
                <w:sz w:val="24"/>
                <w:szCs w:val="28"/>
                <w:lang w:eastAsia="zh-CN"/>
              </w:rPr>
              <w:t>执业质量评价</w:t>
            </w:r>
            <w:r>
              <w:rPr>
                <w:rFonts w:hint="eastAsia" w:ascii="Times New Roman" w:hAnsi="Times New Roman" w:eastAsia="仿宋"/>
                <w:spacing w:val="-7"/>
                <w:sz w:val="24"/>
                <w:szCs w:val="28"/>
                <w:lang w:eastAsia="zh-CN"/>
              </w:rPr>
              <w:t>指标计算。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018" w:type="dxa"/>
            <w:vMerge w:val="restart"/>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en-US"/>
              </w:rPr>
            </w:pPr>
            <w:r>
              <w:rPr>
                <w:rFonts w:ascii="Times New Roman" w:hAnsi="Times New Roman" w:eastAsia="仿宋"/>
                <w:sz w:val="24"/>
                <w:szCs w:val="28"/>
                <w:lang w:eastAsia="en-US"/>
              </w:rPr>
              <w:t>评价调整</w:t>
            </w:r>
          </w:p>
        </w:tc>
        <w:tc>
          <w:tcPr>
            <w:tcW w:w="1168" w:type="dxa"/>
            <w:vMerge w:val="restart"/>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en-US"/>
              </w:rPr>
            </w:pPr>
            <w:r>
              <w:rPr>
                <w:rFonts w:ascii="Times New Roman" w:hAnsi="Times New Roman" w:eastAsia="仿宋"/>
                <w:sz w:val="24"/>
                <w:szCs w:val="28"/>
                <w:lang w:eastAsia="en-US"/>
              </w:rPr>
              <w:t>评价得分调整</w:t>
            </w:r>
          </w:p>
        </w:tc>
        <w:tc>
          <w:tcPr>
            <w:tcW w:w="2046" w:type="dxa"/>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zh-CN"/>
              </w:rPr>
            </w:pPr>
            <w:r>
              <w:rPr>
                <w:rFonts w:ascii="Times New Roman" w:hAnsi="Times New Roman" w:eastAsia="仿宋"/>
                <w:sz w:val="24"/>
                <w:szCs w:val="28"/>
                <w:lang w:eastAsia="zh-CN"/>
              </w:rPr>
              <w:t>规模调整</w:t>
            </w:r>
          </w:p>
          <w:p>
            <w:pPr>
              <w:pStyle w:val="2"/>
              <w:overflowPunct w:val="0"/>
              <w:adjustRightInd w:val="0"/>
              <w:snapToGrid w:val="0"/>
              <w:spacing w:line="480" w:lineRule="exact"/>
              <w:ind w:left="0"/>
              <w:jc w:val="center"/>
              <w:rPr>
                <w:rFonts w:ascii="Times New Roman" w:hAnsi="Times New Roman" w:eastAsia="仿宋"/>
                <w:sz w:val="24"/>
                <w:szCs w:val="28"/>
                <w:lang w:eastAsia="zh-CN"/>
              </w:rPr>
            </w:pPr>
            <w:r>
              <w:rPr>
                <w:rFonts w:ascii="Times New Roman" w:hAnsi="Times New Roman" w:eastAsia="仿宋"/>
                <w:sz w:val="24"/>
                <w:szCs w:val="28"/>
                <w:lang w:eastAsia="zh-CN"/>
              </w:rPr>
              <w:t>（加分，共10分）</w:t>
            </w:r>
          </w:p>
        </w:tc>
        <w:tc>
          <w:tcPr>
            <w:tcW w:w="3719" w:type="dxa"/>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zh-CN"/>
              </w:rPr>
            </w:pPr>
            <w:r>
              <w:rPr>
                <w:rFonts w:ascii="Times New Roman" w:hAnsi="Times New Roman" w:eastAsia="仿宋"/>
                <w:sz w:val="24"/>
                <w:szCs w:val="28"/>
                <w:lang w:eastAsia="zh-CN"/>
              </w:rPr>
              <w:t>保荐项目数量（+）</w:t>
            </w:r>
            <w:r>
              <w:rPr>
                <w:rFonts w:hint="eastAsia" w:ascii="Times New Roman" w:hAnsi="Times New Roman" w:eastAsia="仿宋"/>
                <w:sz w:val="24"/>
                <w:szCs w:val="28"/>
                <w:lang w:eastAsia="zh-CN"/>
              </w:rPr>
              <w:t>（1</w:t>
            </w:r>
            <w:r>
              <w:rPr>
                <w:rFonts w:ascii="Times New Roman" w:hAnsi="Times New Roman" w:eastAsia="仿宋"/>
                <w:sz w:val="24"/>
                <w:szCs w:val="28"/>
                <w:lang w:eastAsia="zh-CN"/>
              </w:rPr>
              <w:t>0分</w:t>
            </w:r>
            <w:r>
              <w:rPr>
                <w:rFonts w:hint="eastAsia" w:ascii="Times New Roman" w:hAnsi="Times New Roman" w:eastAsia="仿宋"/>
                <w:sz w:val="24"/>
                <w:szCs w:val="28"/>
                <w:lang w:eastAsia="zh-CN"/>
              </w:rPr>
              <w:t>）</w:t>
            </w:r>
          </w:p>
        </w:tc>
        <w:tc>
          <w:tcPr>
            <w:tcW w:w="3191" w:type="dxa"/>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zh-CN"/>
              </w:rPr>
            </w:pPr>
            <w:r>
              <w:rPr>
                <w:rFonts w:ascii="Times New Roman" w:hAnsi="Times New Roman" w:eastAsia="仿宋"/>
                <w:sz w:val="24"/>
                <w:szCs w:val="28"/>
                <w:lang w:eastAsia="zh-CN"/>
              </w:rPr>
              <w:t>10分*保荐项目数量/保荐项目数量最多的保荐机构保荐家数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018" w:type="dxa"/>
            <w:vMerge w:val="continue"/>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zh-CN"/>
              </w:rPr>
            </w:pPr>
          </w:p>
        </w:tc>
        <w:tc>
          <w:tcPr>
            <w:tcW w:w="1168" w:type="dxa"/>
            <w:vMerge w:val="continue"/>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zh-CN"/>
              </w:rPr>
            </w:pPr>
          </w:p>
        </w:tc>
        <w:tc>
          <w:tcPr>
            <w:tcW w:w="2046" w:type="dxa"/>
            <w:vMerge w:val="restart"/>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zh-CN"/>
              </w:rPr>
            </w:pPr>
            <w:r>
              <w:rPr>
                <w:rFonts w:ascii="Times New Roman" w:hAnsi="Times New Roman" w:eastAsia="仿宋"/>
                <w:sz w:val="24"/>
                <w:szCs w:val="28"/>
                <w:lang w:eastAsia="zh-CN"/>
              </w:rPr>
              <w:t>风险调整</w:t>
            </w:r>
          </w:p>
          <w:p>
            <w:pPr>
              <w:pStyle w:val="2"/>
              <w:overflowPunct w:val="0"/>
              <w:adjustRightInd w:val="0"/>
              <w:snapToGrid w:val="0"/>
              <w:spacing w:line="480" w:lineRule="exact"/>
              <w:ind w:left="0"/>
              <w:jc w:val="center"/>
              <w:rPr>
                <w:rFonts w:ascii="Times New Roman" w:hAnsi="Times New Roman" w:eastAsia="仿宋"/>
                <w:sz w:val="24"/>
                <w:szCs w:val="28"/>
                <w:lang w:eastAsia="zh-CN"/>
              </w:rPr>
            </w:pPr>
            <w:r>
              <w:rPr>
                <w:rFonts w:ascii="Times New Roman" w:hAnsi="Times New Roman" w:eastAsia="仿宋"/>
                <w:sz w:val="24"/>
                <w:szCs w:val="28"/>
                <w:lang w:eastAsia="zh-CN"/>
              </w:rPr>
              <w:t>（减分，共30分）</w:t>
            </w:r>
          </w:p>
        </w:tc>
        <w:tc>
          <w:tcPr>
            <w:tcW w:w="3719" w:type="dxa"/>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zh-CN"/>
              </w:rPr>
            </w:pPr>
            <w:r>
              <w:rPr>
                <w:rFonts w:ascii="Times New Roman" w:hAnsi="Times New Roman" w:eastAsia="仿宋"/>
                <w:sz w:val="24"/>
                <w:szCs w:val="28"/>
                <w:lang w:eastAsia="zh-CN"/>
              </w:rPr>
              <w:t>风险警示公司占比（-）</w:t>
            </w:r>
            <w:r>
              <w:rPr>
                <w:rFonts w:hint="eastAsia" w:ascii="Times New Roman" w:hAnsi="Times New Roman" w:eastAsia="仿宋"/>
                <w:sz w:val="24"/>
                <w:szCs w:val="28"/>
                <w:lang w:eastAsia="zh-CN"/>
              </w:rPr>
              <w:t>（1</w:t>
            </w:r>
            <w:r>
              <w:rPr>
                <w:rFonts w:ascii="Times New Roman" w:hAnsi="Times New Roman" w:eastAsia="仿宋"/>
                <w:sz w:val="24"/>
                <w:szCs w:val="28"/>
                <w:lang w:eastAsia="zh-CN"/>
              </w:rPr>
              <w:t>0分</w:t>
            </w:r>
            <w:r>
              <w:rPr>
                <w:rFonts w:hint="eastAsia" w:ascii="Times New Roman" w:hAnsi="Times New Roman" w:eastAsia="仿宋"/>
                <w:sz w:val="24"/>
                <w:szCs w:val="28"/>
                <w:lang w:eastAsia="zh-CN"/>
              </w:rPr>
              <w:t>）</w:t>
            </w:r>
          </w:p>
        </w:tc>
        <w:tc>
          <w:tcPr>
            <w:tcW w:w="3191" w:type="dxa"/>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en-US"/>
              </w:rPr>
            </w:pPr>
            <w:r>
              <w:rPr>
                <w:rFonts w:ascii="Times New Roman" w:hAnsi="Times New Roman" w:eastAsia="仿宋"/>
                <w:sz w:val="24"/>
                <w:szCs w:val="28"/>
                <w:lang w:eastAsia="en-US"/>
              </w:rPr>
              <w:t>扣分：比例*10分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018" w:type="dxa"/>
            <w:vMerge w:val="continue"/>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en-US"/>
              </w:rPr>
            </w:pPr>
          </w:p>
        </w:tc>
        <w:tc>
          <w:tcPr>
            <w:tcW w:w="1168" w:type="dxa"/>
            <w:vMerge w:val="continue"/>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en-US"/>
              </w:rPr>
            </w:pPr>
          </w:p>
        </w:tc>
        <w:tc>
          <w:tcPr>
            <w:tcW w:w="2046" w:type="dxa"/>
            <w:vMerge w:val="continue"/>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en-US"/>
              </w:rPr>
            </w:pPr>
          </w:p>
        </w:tc>
        <w:tc>
          <w:tcPr>
            <w:tcW w:w="3719" w:type="dxa"/>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zh-CN"/>
              </w:rPr>
            </w:pPr>
            <w:r>
              <w:rPr>
                <w:rFonts w:ascii="Times New Roman" w:hAnsi="Times New Roman" w:eastAsia="仿宋"/>
                <w:sz w:val="24"/>
                <w:szCs w:val="28"/>
                <w:lang w:eastAsia="zh-CN"/>
              </w:rPr>
              <w:t>强制退市公司占比（-）</w:t>
            </w:r>
            <w:r>
              <w:rPr>
                <w:rFonts w:hint="eastAsia" w:ascii="Times New Roman" w:hAnsi="Times New Roman" w:eastAsia="仿宋"/>
                <w:sz w:val="24"/>
                <w:szCs w:val="28"/>
                <w:lang w:eastAsia="zh-CN"/>
              </w:rPr>
              <w:t>（2</w:t>
            </w:r>
            <w:r>
              <w:rPr>
                <w:rFonts w:ascii="Times New Roman" w:hAnsi="Times New Roman" w:eastAsia="仿宋"/>
                <w:sz w:val="24"/>
                <w:szCs w:val="28"/>
                <w:lang w:eastAsia="zh-CN"/>
              </w:rPr>
              <w:t>0分</w:t>
            </w:r>
            <w:r>
              <w:rPr>
                <w:rFonts w:hint="eastAsia" w:ascii="Times New Roman" w:hAnsi="Times New Roman" w:eastAsia="仿宋"/>
                <w:sz w:val="24"/>
                <w:szCs w:val="28"/>
                <w:lang w:eastAsia="zh-CN"/>
              </w:rPr>
              <w:t>）</w:t>
            </w:r>
          </w:p>
        </w:tc>
        <w:tc>
          <w:tcPr>
            <w:tcW w:w="3191" w:type="dxa"/>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en-US"/>
              </w:rPr>
            </w:pPr>
            <w:r>
              <w:rPr>
                <w:rFonts w:ascii="Times New Roman" w:hAnsi="Times New Roman" w:eastAsia="仿宋"/>
                <w:sz w:val="24"/>
                <w:szCs w:val="28"/>
                <w:lang w:eastAsia="en-US"/>
              </w:rPr>
              <w:t>扣分：比例*20分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jc w:val="center"/>
        </w:trPr>
        <w:tc>
          <w:tcPr>
            <w:tcW w:w="1018" w:type="dxa"/>
            <w:vMerge w:val="continue"/>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en-US"/>
              </w:rPr>
            </w:pPr>
          </w:p>
        </w:tc>
        <w:tc>
          <w:tcPr>
            <w:tcW w:w="1168" w:type="dxa"/>
            <w:vMerge w:val="continue"/>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en-US"/>
              </w:rPr>
            </w:pPr>
          </w:p>
        </w:tc>
        <w:tc>
          <w:tcPr>
            <w:tcW w:w="2046" w:type="dxa"/>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zh-CN"/>
              </w:rPr>
            </w:pPr>
            <w:r>
              <w:rPr>
                <w:rFonts w:ascii="Times New Roman" w:hAnsi="Times New Roman" w:eastAsia="仿宋"/>
                <w:sz w:val="24"/>
                <w:szCs w:val="28"/>
                <w:lang w:eastAsia="zh-CN"/>
              </w:rPr>
              <w:t>降档调整</w:t>
            </w:r>
          </w:p>
          <w:p>
            <w:pPr>
              <w:pStyle w:val="2"/>
              <w:overflowPunct w:val="0"/>
              <w:adjustRightInd w:val="0"/>
              <w:snapToGrid w:val="0"/>
              <w:spacing w:line="480" w:lineRule="exact"/>
              <w:ind w:left="0"/>
              <w:jc w:val="center"/>
              <w:rPr>
                <w:rFonts w:ascii="Times New Roman" w:hAnsi="Times New Roman" w:eastAsia="仿宋"/>
                <w:sz w:val="24"/>
                <w:szCs w:val="28"/>
                <w:lang w:eastAsia="zh-CN"/>
              </w:rPr>
            </w:pPr>
            <w:r>
              <w:rPr>
                <w:rFonts w:hint="eastAsia" w:ascii="Times New Roman" w:hAnsi="Times New Roman" w:eastAsia="仿宋"/>
                <w:sz w:val="24"/>
                <w:szCs w:val="28"/>
                <w:lang w:eastAsia="zh-CN"/>
              </w:rPr>
              <w:t>（减分，共1</w:t>
            </w:r>
            <w:r>
              <w:rPr>
                <w:rFonts w:ascii="Times New Roman" w:hAnsi="Times New Roman" w:eastAsia="仿宋"/>
                <w:sz w:val="24"/>
                <w:szCs w:val="28"/>
                <w:lang w:eastAsia="zh-CN"/>
              </w:rPr>
              <w:t>0分</w:t>
            </w:r>
            <w:r>
              <w:rPr>
                <w:rFonts w:hint="eastAsia" w:ascii="Times New Roman" w:hAnsi="Times New Roman" w:eastAsia="仿宋"/>
                <w:sz w:val="24"/>
                <w:szCs w:val="28"/>
                <w:lang w:eastAsia="zh-CN"/>
              </w:rPr>
              <w:t>）</w:t>
            </w:r>
          </w:p>
        </w:tc>
        <w:tc>
          <w:tcPr>
            <w:tcW w:w="3719" w:type="dxa"/>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zh-CN"/>
              </w:rPr>
            </w:pPr>
            <w:r>
              <w:rPr>
                <w:rFonts w:ascii="Times New Roman" w:hAnsi="Times New Roman" w:eastAsia="仿宋"/>
                <w:sz w:val="24"/>
                <w:szCs w:val="28"/>
                <w:lang w:eastAsia="zh-CN"/>
              </w:rPr>
              <w:t>重大执业质量问题（-）</w:t>
            </w:r>
          </w:p>
        </w:tc>
        <w:tc>
          <w:tcPr>
            <w:tcW w:w="3191" w:type="dxa"/>
            <w:vAlign w:val="center"/>
          </w:tcPr>
          <w:p>
            <w:pPr>
              <w:pStyle w:val="2"/>
              <w:overflowPunct w:val="0"/>
              <w:adjustRightInd w:val="0"/>
              <w:snapToGrid w:val="0"/>
              <w:spacing w:line="480" w:lineRule="exact"/>
              <w:ind w:left="0"/>
              <w:jc w:val="center"/>
              <w:rPr>
                <w:rFonts w:ascii="Times New Roman" w:hAnsi="Times New Roman" w:eastAsia="仿宋"/>
                <w:sz w:val="24"/>
                <w:szCs w:val="28"/>
                <w:lang w:eastAsia="en-US"/>
              </w:rPr>
            </w:pPr>
            <w:r>
              <w:rPr>
                <w:rFonts w:hint="eastAsia" w:ascii="Times New Roman" w:hAnsi="Times New Roman" w:eastAsia="仿宋"/>
                <w:sz w:val="24"/>
                <w:szCs w:val="28"/>
                <w:lang w:eastAsia="en-US"/>
              </w:rPr>
              <w:t>扣分：1</w:t>
            </w:r>
            <w:r>
              <w:rPr>
                <w:rFonts w:ascii="Times New Roman" w:hAnsi="Times New Roman" w:eastAsia="仿宋"/>
                <w:sz w:val="24"/>
                <w:szCs w:val="28"/>
                <w:lang w:eastAsia="en-US"/>
              </w:rPr>
              <w:t>0分</w:t>
            </w:r>
          </w:p>
        </w:tc>
      </w:tr>
    </w:tbl>
    <w:p>
      <w:pPr>
        <w:sectPr>
          <w:pgSz w:w="11906" w:h="16838"/>
          <w:pgMar w:top="2098" w:right="1588" w:bottom="1985" w:left="1588" w:header="851" w:footer="992" w:gutter="0"/>
          <w:pgNumType w:fmt="numberInDash"/>
          <w:cols w:space="425" w:num="1"/>
          <w:docGrid w:type="lines" w:linePitch="312" w:charSpace="0"/>
        </w:sectPr>
      </w:pPr>
    </w:p>
    <w:p>
      <w:pPr>
        <w:pStyle w:val="2"/>
        <w:overflowPunct w:val="0"/>
        <w:adjustRightInd w:val="0"/>
        <w:snapToGrid w:val="0"/>
        <w:spacing w:line="600" w:lineRule="exact"/>
        <w:jc w:val="both"/>
        <w:rPr>
          <w:rFonts w:ascii="Times New Roman" w:hAnsi="Times New Roman" w:eastAsia="黑体" w:cs="Times New Roman"/>
          <w:sz w:val="32"/>
          <w:szCs w:val="32"/>
        </w:rPr>
      </w:pPr>
      <w:r>
        <w:rPr>
          <w:rFonts w:ascii="Times New Roman" w:hAnsi="Times New Roman" w:eastAsia="黑体" w:cs="Times New Roman"/>
          <w:sz w:val="32"/>
          <w:szCs w:val="32"/>
        </w:rPr>
        <w:t>附件 3</w:t>
      </w:r>
    </w:p>
    <w:p>
      <w:pPr>
        <w:pStyle w:val="2"/>
        <w:tabs>
          <w:tab w:val="left" w:pos="7513"/>
        </w:tabs>
        <w:overflowPunct w:val="0"/>
        <w:adjustRightInd w:val="0"/>
        <w:snapToGrid w:val="0"/>
        <w:spacing w:line="600" w:lineRule="exact"/>
        <w:ind w:left="0"/>
        <w:jc w:val="center"/>
        <w:rPr>
          <w:rFonts w:ascii="方正大标宋简体" w:hAnsi="Times New Roman" w:eastAsia="方正大标宋简体"/>
          <w:sz w:val="44"/>
          <w:szCs w:val="32"/>
        </w:rPr>
      </w:pPr>
      <w:r>
        <w:rPr>
          <w:rFonts w:ascii="方正大标宋简体" w:hAnsi="Times New Roman" w:eastAsia="方正大标宋简体"/>
          <w:sz w:val="44"/>
          <w:szCs w:val="32"/>
        </w:rPr>
        <w:t>评价指标具体计算方式</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 xml:space="preserve"> 扣非归母净利润规模指标，根据公司年报披露的“归属于上市公司股东的扣除非经常性损益后的净利润”的本期金额计算。</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z w:val="32"/>
          <w:szCs w:val="32"/>
        </w:rPr>
        <w:t>2.</w:t>
      </w:r>
      <w:r>
        <w:rPr>
          <w:rFonts w:ascii="Times New Roman" w:hAnsi="Times New Roman" w:eastAsia="仿宋"/>
          <w:sz w:val="32"/>
          <w:szCs w:val="32"/>
        </w:rPr>
        <w:t xml:space="preserve"> 经营活动净现金流占营业收入比重指标，根据公司年报现金流量表中“经营活动产生的现金流量净额”项目的本期发生额，除以公司年报利润表中“营业收入”项目的本期发生额计算。</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z w:val="32"/>
          <w:szCs w:val="32"/>
        </w:rPr>
        <w:t xml:space="preserve">3. </w:t>
      </w:r>
      <w:r>
        <w:rPr>
          <w:rFonts w:ascii="Times New Roman" w:hAnsi="Times New Roman" w:eastAsia="仿宋"/>
          <w:sz w:val="32"/>
          <w:szCs w:val="32"/>
        </w:rPr>
        <w:t>销售净利率指标，根据公司年报利润表中“净利润”项目的本期金额，除以公司年报利润表中“营业收入”项目的本期发生额计算。</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z w:val="32"/>
          <w:szCs w:val="32"/>
        </w:rPr>
        <w:t xml:space="preserve">4. </w:t>
      </w:r>
      <w:r>
        <w:rPr>
          <w:rFonts w:ascii="Times New Roman" w:hAnsi="Times New Roman" w:eastAsia="仿宋"/>
          <w:sz w:val="32"/>
          <w:szCs w:val="32"/>
        </w:rPr>
        <w:t>净资产收益率指标，根据公司年报利润表中“归属于母公司</w:t>
      </w:r>
      <w:r>
        <w:rPr>
          <w:rFonts w:hint="eastAsia" w:ascii="Times New Roman" w:hAnsi="Times New Roman" w:eastAsia="仿宋"/>
          <w:sz w:val="32"/>
          <w:szCs w:val="32"/>
        </w:rPr>
        <w:t>所有者</w:t>
      </w:r>
      <w:r>
        <w:rPr>
          <w:rFonts w:ascii="Times New Roman" w:hAnsi="Times New Roman" w:eastAsia="仿宋"/>
          <w:sz w:val="32"/>
          <w:szCs w:val="32"/>
        </w:rPr>
        <w:t>的净利润”项目的本期金额，除以公司年报</w:t>
      </w:r>
      <w:r>
        <w:rPr>
          <w:rFonts w:hint="eastAsia" w:ascii="Times New Roman" w:hAnsi="Times New Roman" w:eastAsia="仿宋"/>
          <w:sz w:val="32"/>
          <w:szCs w:val="32"/>
        </w:rPr>
        <w:t>资产负债表</w:t>
      </w:r>
      <w:r>
        <w:rPr>
          <w:rFonts w:ascii="Times New Roman" w:hAnsi="Times New Roman" w:eastAsia="仿宋"/>
          <w:sz w:val="32"/>
          <w:szCs w:val="32"/>
        </w:rPr>
        <w:t>中“</w:t>
      </w:r>
      <w:r>
        <w:rPr>
          <w:rFonts w:hint="eastAsia" w:ascii="Times New Roman" w:hAnsi="Times New Roman" w:eastAsia="仿宋"/>
          <w:sz w:val="32"/>
          <w:szCs w:val="32"/>
        </w:rPr>
        <w:t>归属</w:t>
      </w:r>
      <w:r>
        <w:rPr>
          <w:rFonts w:ascii="Times New Roman" w:hAnsi="Times New Roman" w:eastAsia="仿宋"/>
          <w:sz w:val="32"/>
          <w:szCs w:val="32"/>
        </w:rPr>
        <w:t>于母公司所有者权益</w:t>
      </w:r>
      <w:r>
        <w:rPr>
          <w:rFonts w:hint="eastAsia" w:ascii="Times New Roman" w:hAnsi="Times New Roman" w:eastAsia="仿宋"/>
          <w:sz w:val="32"/>
          <w:szCs w:val="32"/>
        </w:rPr>
        <w:t>（或股东权益）合计</w:t>
      </w:r>
      <w:r>
        <w:rPr>
          <w:rFonts w:ascii="Times New Roman" w:hAnsi="Times New Roman" w:eastAsia="仿宋"/>
          <w:sz w:val="32"/>
          <w:szCs w:val="32"/>
        </w:rPr>
        <w:t>”项目的</w:t>
      </w:r>
      <w:r>
        <w:rPr>
          <w:rFonts w:hint="eastAsia" w:ascii="Times New Roman" w:hAnsi="Times New Roman" w:eastAsia="仿宋"/>
          <w:sz w:val="32"/>
          <w:szCs w:val="32"/>
        </w:rPr>
        <w:t>本期期末</w:t>
      </w:r>
      <w:r>
        <w:rPr>
          <w:rFonts w:ascii="Times New Roman" w:hAnsi="Times New Roman" w:eastAsia="仿宋"/>
          <w:sz w:val="32"/>
          <w:szCs w:val="32"/>
        </w:rPr>
        <w:t>余额与</w:t>
      </w:r>
      <w:r>
        <w:rPr>
          <w:rFonts w:hint="eastAsia" w:ascii="Times New Roman" w:hAnsi="Times New Roman" w:eastAsia="仿宋"/>
          <w:sz w:val="32"/>
          <w:szCs w:val="32"/>
        </w:rPr>
        <w:t>上期期末</w:t>
      </w:r>
      <w:r>
        <w:rPr>
          <w:rFonts w:ascii="Times New Roman" w:hAnsi="Times New Roman" w:eastAsia="仿宋"/>
          <w:sz w:val="32"/>
          <w:szCs w:val="32"/>
        </w:rPr>
        <w:t>余额的平均值计算。</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z w:val="32"/>
          <w:szCs w:val="32"/>
        </w:rPr>
        <w:t xml:space="preserve">5. </w:t>
      </w:r>
      <w:r>
        <w:rPr>
          <w:rFonts w:ascii="Times New Roman" w:hAnsi="Times New Roman" w:eastAsia="仿宋"/>
          <w:sz w:val="32"/>
          <w:szCs w:val="32"/>
        </w:rPr>
        <w:t>营业收入增速指标，根据公司年报利润表中“营业收入”项目的本期发生额减上期发生额，除以上期发生额计算。</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z w:val="32"/>
          <w:szCs w:val="32"/>
        </w:rPr>
        <w:t>6.</w:t>
      </w:r>
      <w:r>
        <w:rPr>
          <w:rFonts w:ascii="Times New Roman" w:hAnsi="Times New Roman" w:eastAsia="仿宋"/>
          <w:sz w:val="32"/>
          <w:szCs w:val="32"/>
        </w:rPr>
        <w:t xml:space="preserve"> 扣非归母净利润增速指标，根据公司年报披露的“归属于上市公司股东的扣除非经常性损益后的净利润”的本期金额减上期金额，除以上期金额的绝对值计算。</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z w:val="32"/>
          <w:szCs w:val="32"/>
        </w:rPr>
        <w:t>7. 业绩下滑调整指标，根据公司年报披露的“营业收入”“归属于上市公司股东的扣除非经常性损益的净利润”本期金额的同比变动情况计算。</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z w:val="32"/>
          <w:szCs w:val="32"/>
        </w:rPr>
        <w:t>8</w:t>
      </w:r>
      <w:r>
        <w:rPr>
          <w:rFonts w:ascii="Times New Roman" w:hAnsi="Times New Roman" w:eastAsia="仿宋"/>
          <w:sz w:val="32"/>
          <w:szCs w:val="32"/>
        </w:rPr>
        <w:t>. 研发支出占比指标，根据公司年报披露的“研发</w:t>
      </w:r>
      <w:r>
        <w:rPr>
          <w:rFonts w:hint="eastAsia" w:ascii="Times New Roman" w:hAnsi="Times New Roman" w:eastAsia="仿宋"/>
          <w:sz w:val="32"/>
          <w:szCs w:val="32"/>
        </w:rPr>
        <w:t>支出</w:t>
      </w:r>
      <w:r>
        <w:rPr>
          <w:rFonts w:ascii="Times New Roman" w:hAnsi="Times New Roman" w:eastAsia="仿宋"/>
          <w:sz w:val="32"/>
          <w:szCs w:val="32"/>
        </w:rPr>
        <w:t>金额”项目的本期发生额，除以公司年报利润表中“营业收入”项目的本期发生额计算</w:t>
      </w:r>
      <w:r>
        <w:rPr>
          <w:rFonts w:hint="eastAsia" w:ascii="Times New Roman" w:hAnsi="Times New Roman" w:eastAsia="仿宋"/>
          <w:sz w:val="32"/>
          <w:szCs w:val="32"/>
        </w:rPr>
        <w:t>。</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ascii="Times New Roman" w:hAnsi="Times New Roman" w:eastAsia="仿宋"/>
          <w:sz w:val="32"/>
          <w:szCs w:val="32"/>
        </w:rPr>
        <w:t>9. 研发人员占比指标</w:t>
      </w:r>
      <w:r>
        <w:rPr>
          <w:rFonts w:hint="eastAsia" w:ascii="Times New Roman" w:hAnsi="Times New Roman" w:eastAsia="仿宋"/>
          <w:sz w:val="32"/>
          <w:szCs w:val="32"/>
        </w:rPr>
        <w:t>，</w:t>
      </w:r>
      <w:r>
        <w:rPr>
          <w:rFonts w:ascii="Times New Roman" w:hAnsi="Times New Roman" w:eastAsia="仿宋"/>
          <w:sz w:val="32"/>
          <w:szCs w:val="32"/>
        </w:rPr>
        <w:t>根据公司年报披露的</w:t>
      </w:r>
      <w:r>
        <w:rPr>
          <w:rFonts w:hint="eastAsia" w:ascii="Times New Roman" w:hAnsi="Times New Roman" w:eastAsia="仿宋"/>
          <w:sz w:val="32"/>
          <w:szCs w:val="32"/>
        </w:rPr>
        <w:t>“研发人员总计”期末人数，除以公司年报披露的“员工总计”期末人数。</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ascii="Times New Roman" w:hAnsi="Times New Roman" w:eastAsia="仿宋"/>
          <w:sz w:val="32"/>
          <w:szCs w:val="32"/>
        </w:rPr>
        <w:t>10</w:t>
      </w:r>
      <w:r>
        <w:rPr>
          <w:rFonts w:hint="eastAsia" w:ascii="Times New Roman" w:hAnsi="Times New Roman" w:eastAsia="仿宋"/>
          <w:sz w:val="32"/>
          <w:szCs w:val="32"/>
        </w:rPr>
        <w:t xml:space="preserve">. </w:t>
      </w:r>
      <w:r>
        <w:rPr>
          <w:rFonts w:ascii="Times New Roman" w:hAnsi="Times New Roman" w:eastAsia="仿宋"/>
          <w:sz w:val="32"/>
          <w:szCs w:val="32"/>
        </w:rPr>
        <w:t>年化回报率指标，根据</w:t>
      </w:r>
      <w:r>
        <w:rPr>
          <w:rFonts w:hint="eastAsia" w:ascii="Times New Roman" w:hAnsi="Times New Roman" w:eastAsia="仿宋"/>
          <w:sz w:val="32"/>
          <w:szCs w:val="32"/>
        </w:rPr>
        <w:t>期末</w:t>
      </w:r>
      <w:r>
        <w:rPr>
          <w:rFonts w:ascii="Times New Roman" w:hAnsi="Times New Roman" w:eastAsia="仿宋"/>
          <w:sz w:val="32"/>
          <w:szCs w:val="32"/>
        </w:rPr>
        <w:t>二十个交易日公司股票收盘复权价平均值减期初二十个交易日开盘复权价平均值，除以期初二十个交易日开盘复权价平均值计算。</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ascii="Times New Roman" w:hAnsi="Times New Roman" w:eastAsia="仿宋"/>
          <w:sz w:val="32"/>
          <w:szCs w:val="32"/>
        </w:rPr>
        <w:t>11. 总市值指标</w:t>
      </w:r>
      <w:r>
        <w:rPr>
          <w:rFonts w:hint="eastAsia" w:ascii="Times New Roman" w:hAnsi="Times New Roman" w:eastAsia="仿宋"/>
          <w:sz w:val="32"/>
          <w:szCs w:val="32"/>
        </w:rPr>
        <w:t>，</w:t>
      </w:r>
      <w:r>
        <w:rPr>
          <w:rFonts w:ascii="Times New Roman" w:hAnsi="Times New Roman" w:eastAsia="仿宋"/>
          <w:sz w:val="32"/>
          <w:szCs w:val="32"/>
        </w:rPr>
        <w:t>根据期末二十个交易日公司收盘市值平均值计算</w:t>
      </w:r>
      <w:r>
        <w:rPr>
          <w:rFonts w:hint="eastAsia" w:ascii="Times New Roman" w:hAnsi="Times New Roman" w:eastAsia="仿宋"/>
          <w:sz w:val="32"/>
          <w:szCs w:val="32"/>
        </w:rPr>
        <w:t>。</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ascii="Times New Roman" w:hAnsi="Times New Roman" w:eastAsia="仿宋"/>
          <w:sz w:val="32"/>
          <w:szCs w:val="32"/>
        </w:rPr>
        <w:t>12</w:t>
      </w:r>
      <w:r>
        <w:rPr>
          <w:rFonts w:hint="eastAsia" w:ascii="Times New Roman" w:hAnsi="Times New Roman" w:eastAsia="仿宋"/>
          <w:sz w:val="32"/>
          <w:szCs w:val="32"/>
        </w:rPr>
        <w:t xml:space="preserve">. </w:t>
      </w:r>
      <w:r>
        <w:rPr>
          <w:rFonts w:ascii="Times New Roman" w:hAnsi="Times New Roman" w:eastAsia="仿宋"/>
          <w:sz w:val="32"/>
          <w:szCs w:val="32"/>
        </w:rPr>
        <w:t>总市值增长率指标，根据期末二十个交易日公司收盘市值平均值减期初二十个交易日公司</w:t>
      </w:r>
      <w:r>
        <w:rPr>
          <w:rFonts w:hint="eastAsia" w:ascii="Times New Roman" w:hAnsi="Times New Roman" w:eastAsia="仿宋"/>
          <w:sz w:val="32"/>
          <w:szCs w:val="32"/>
        </w:rPr>
        <w:t>开盘</w:t>
      </w:r>
      <w:r>
        <w:rPr>
          <w:rFonts w:ascii="Times New Roman" w:hAnsi="Times New Roman" w:eastAsia="仿宋"/>
          <w:sz w:val="32"/>
          <w:szCs w:val="32"/>
        </w:rPr>
        <w:t>市值平均值</w:t>
      </w:r>
      <w:r>
        <w:rPr>
          <w:rFonts w:hint="eastAsia" w:ascii="Times New Roman" w:hAnsi="Times New Roman" w:eastAsia="仿宋"/>
          <w:sz w:val="32"/>
          <w:szCs w:val="32"/>
        </w:rPr>
        <w:t>，</w:t>
      </w:r>
      <w:r>
        <w:rPr>
          <w:rFonts w:ascii="Times New Roman" w:hAnsi="Times New Roman" w:eastAsia="仿宋"/>
          <w:sz w:val="32"/>
          <w:szCs w:val="32"/>
        </w:rPr>
        <w:t>除以期初二十个交易日公司</w:t>
      </w:r>
      <w:r>
        <w:rPr>
          <w:rFonts w:hint="eastAsia" w:ascii="Times New Roman" w:hAnsi="Times New Roman" w:eastAsia="仿宋"/>
          <w:sz w:val="32"/>
          <w:szCs w:val="32"/>
        </w:rPr>
        <w:t>开盘</w:t>
      </w:r>
      <w:r>
        <w:rPr>
          <w:rFonts w:ascii="Times New Roman" w:hAnsi="Times New Roman" w:eastAsia="仿宋"/>
          <w:sz w:val="32"/>
          <w:szCs w:val="32"/>
        </w:rPr>
        <w:t>市值平均值</w:t>
      </w:r>
      <w:r>
        <w:rPr>
          <w:rFonts w:hint="eastAsia" w:ascii="Times New Roman" w:hAnsi="Times New Roman" w:eastAsia="仿宋"/>
          <w:sz w:val="32"/>
          <w:szCs w:val="32"/>
        </w:rPr>
        <w:t>。</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ascii="Times New Roman" w:hAnsi="Times New Roman" w:eastAsia="仿宋"/>
          <w:sz w:val="32"/>
          <w:szCs w:val="32"/>
        </w:rPr>
        <w:t xml:space="preserve">13. </w:t>
      </w:r>
      <w:r>
        <w:rPr>
          <w:rFonts w:hint="eastAsia" w:ascii="Times New Roman" w:hAnsi="Times New Roman" w:eastAsia="仿宋"/>
          <w:sz w:val="32"/>
          <w:szCs w:val="32"/>
        </w:rPr>
        <w:t>纳入市场指数情况指标，根据评价年度</w:t>
      </w:r>
      <w:r>
        <w:rPr>
          <w:rFonts w:ascii="Times New Roman" w:hAnsi="Times New Roman" w:eastAsia="仿宋"/>
          <w:snapToGrid w:val="0"/>
          <w:sz w:val="32"/>
          <w:szCs w:val="32"/>
        </w:rPr>
        <w:t>公司</w:t>
      </w:r>
      <w:r>
        <w:rPr>
          <w:rFonts w:hint="eastAsia" w:ascii="Times New Roman" w:hAnsi="Times New Roman" w:eastAsia="仿宋"/>
          <w:snapToGrid w:val="0"/>
          <w:sz w:val="32"/>
          <w:szCs w:val="32"/>
        </w:rPr>
        <w:t>是否持续</w:t>
      </w:r>
      <w:r>
        <w:rPr>
          <w:rFonts w:ascii="Times New Roman" w:hAnsi="Times New Roman" w:eastAsia="仿宋"/>
          <w:snapToGrid w:val="0"/>
          <w:sz w:val="32"/>
          <w:szCs w:val="32"/>
        </w:rPr>
        <w:t>纳入</w:t>
      </w:r>
      <w:r>
        <w:rPr>
          <w:rFonts w:hint="eastAsia" w:ascii="Times New Roman" w:hAnsi="Times New Roman" w:eastAsia="仿宋"/>
          <w:snapToGrid w:val="0"/>
          <w:sz w:val="32"/>
          <w:szCs w:val="32"/>
        </w:rPr>
        <w:t>北证50等北交所</w:t>
      </w:r>
      <w:r>
        <w:rPr>
          <w:rFonts w:ascii="Times New Roman" w:hAnsi="Times New Roman" w:eastAsia="仿宋"/>
          <w:snapToGrid w:val="0"/>
          <w:sz w:val="32"/>
          <w:szCs w:val="32"/>
        </w:rPr>
        <w:t>指数</w:t>
      </w:r>
      <w:r>
        <w:rPr>
          <w:rFonts w:hint="eastAsia" w:ascii="Times New Roman" w:hAnsi="Times New Roman" w:eastAsia="仿宋"/>
          <w:snapToGrid w:val="0"/>
          <w:sz w:val="32"/>
          <w:szCs w:val="32"/>
        </w:rPr>
        <w:t>情况</w:t>
      </w:r>
      <w:r>
        <w:rPr>
          <w:rFonts w:ascii="Times New Roman" w:hAnsi="Times New Roman" w:eastAsia="仿宋"/>
          <w:snapToGrid w:val="0"/>
          <w:sz w:val="32"/>
          <w:szCs w:val="32"/>
        </w:rPr>
        <w:t>赋值。</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4</w:t>
      </w:r>
      <w:r>
        <w:rPr>
          <w:rFonts w:hint="eastAsia" w:ascii="Times New Roman" w:hAnsi="Times New Roman" w:eastAsia="仿宋"/>
          <w:sz w:val="32"/>
          <w:szCs w:val="32"/>
        </w:rPr>
        <w:t>.</w:t>
      </w:r>
      <w:r>
        <w:rPr>
          <w:rFonts w:ascii="Times New Roman" w:hAnsi="Times New Roman" w:eastAsia="仿宋"/>
          <w:sz w:val="32"/>
          <w:szCs w:val="32"/>
        </w:rPr>
        <w:t xml:space="preserve"> 信息披露评级指标</w:t>
      </w:r>
      <w:r>
        <w:rPr>
          <w:rFonts w:hint="eastAsia" w:ascii="Times New Roman" w:hAnsi="Times New Roman" w:eastAsia="仿宋"/>
          <w:sz w:val="32"/>
          <w:szCs w:val="32"/>
        </w:rPr>
        <w:t>，</w:t>
      </w:r>
      <w:r>
        <w:rPr>
          <w:rFonts w:ascii="Times New Roman" w:hAnsi="Times New Roman" w:eastAsia="仿宋"/>
          <w:sz w:val="32"/>
          <w:szCs w:val="32"/>
        </w:rPr>
        <w:t>根据北交所公布的上市公司信息披露质量分类结果计算</w:t>
      </w:r>
      <w:r>
        <w:rPr>
          <w:rFonts w:hint="eastAsia" w:ascii="Times New Roman" w:hAnsi="Times New Roman" w:eastAsia="仿宋"/>
          <w:sz w:val="32"/>
          <w:szCs w:val="32"/>
        </w:rPr>
        <w:t>，</w:t>
      </w:r>
      <w:r>
        <w:rPr>
          <w:rFonts w:ascii="Times New Roman" w:hAnsi="Times New Roman" w:eastAsia="仿宋"/>
          <w:sz w:val="32"/>
          <w:szCs w:val="32"/>
        </w:rPr>
        <w:t>共分为</w:t>
      </w:r>
      <w:r>
        <w:rPr>
          <w:rFonts w:hint="eastAsia" w:ascii="Times New Roman" w:hAnsi="Times New Roman" w:eastAsia="仿宋"/>
          <w:sz w:val="32"/>
          <w:szCs w:val="32"/>
        </w:rPr>
        <w:t>A、B、C、D</w:t>
      </w:r>
      <w:r>
        <w:rPr>
          <w:rFonts w:ascii="Times New Roman" w:hAnsi="Times New Roman" w:eastAsia="仿宋"/>
          <w:sz w:val="32"/>
          <w:szCs w:val="32"/>
        </w:rPr>
        <w:t>四类</w:t>
      </w:r>
      <w:r>
        <w:rPr>
          <w:rFonts w:hint="eastAsia" w:ascii="Times New Roman" w:hAnsi="Times New Roman" w:eastAsia="仿宋"/>
          <w:sz w:val="32"/>
          <w:szCs w:val="32"/>
        </w:rPr>
        <w:t>。</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napToGrid w:val="0"/>
          <w:sz w:val="32"/>
          <w:szCs w:val="32"/>
        </w:rPr>
        <w:t>1</w:t>
      </w:r>
      <w:r>
        <w:rPr>
          <w:rFonts w:ascii="Times New Roman" w:hAnsi="Times New Roman" w:eastAsia="仿宋"/>
          <w:snapToGrid w:val="0"/>
          <w:sz w:val="32"/>
          <w:szCs w:val="32"/>
        </w:rPr>
        <w:t>5. 行政</w:t>
      </w:r>
      <w:r>
        <w:rPr>
          <w:rFonts w:hint="eastAsia" w:ascii="Times New Roman" w:hAnsi="Times New Roman" w:eastAsia="仿宋"/>
          <w:snapToGrid w:val="0"/>
          <w:sz w:val="32"/>
          <w:szCs w:val="32"/>
        </w:rPr>
        <w:t>监管处罚</w:t>
      </w:r>
      <w:r>
        <w:rPr>
          <w:rFonts w:ascii="Times New Roman" w:hAnsi="Times New Roman" w:eastAsia="仿宋"/>
          <w:sz w:val="32"/>
          <w:szCs w:val="32"/>
        </w:rPr>
        <w:t>指标，根据证监会、证监局对上市公司采取的行政监管措施及实施的行政处罚计算。其中，监管措施包括警示函、监管谈话和责令改正等</w:t>
      </w:r>
      <w:r>
        <w:rPr>
          <w:rFonts w:hint="eastAsia" w:ascii="Times New Roman" w:hAnsi="Times New Roman" w:eastAsia="仿宋"/>
          <w:sz w:val="32"/>
          <w:szCs w:val="32"/>
        </w:rPr>
        <w:t>，</w:t>
      </w:r>
      <w:r>
        <w:rPr>
          <w:rFonts w:ascii="Times New Roman" w:hAnsi="Times New Roman" w:eastAsia="仿宋"/>
          <w:sz w:val="32"/>
          <w:szCs w:val="32"/>
        </w:rPr>
        <w:t>行政处罚包括警告、罚款等。</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ascii="Times New Roman" w:hAnsi="Times New Roman" w:eastAsia="仿宋"/>
          <w:sz w:val="32"/>
          <w:szCs w:val="32"/>
        </w:rPr>
        <w:t xml:space="preserve">16. </w:t>
      </w:r>
      <w:r>
        <w:rPr>
          <w:rFonts w:hint="eastAsia" w:ascii="Times New Roman" w:hAnsi="Times New Roman" w:eastAsia="仿宋"/>
          <w:sz w:val="32"/>
          <w:szCs w:val="32"/>
        </w:rPr>
        <w:t>保荐业务评价指标，按照北交所、全国股转公司发布的证券公司执业质量评价相关规定中保荐业务执业质量评价指标执行，根据评价年度专业质量得分与合规质量扣分加总后折算得出。</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7.</w:t>
      </w:r>
      <w:r>
        <w:rPr>
          <w:rFonts w:hint="eastAsia" w:ascii="Times New Roman" w:hAnsi="Times New Roman" w:eastAsia="仿宋"/>
          <w:sz w:val="32"/>
          <w:szCs w:val="32"/>
        </w:rPr>
        <w:t xml:space="preserve"> </w:t>
      </w:r>
      <w:r>
        <w:rPr>
          <w:rFonts w:ascii="Times New Roman" w:hAnsi="Times New Roman" w:eastAsia="仿宋"/>
          <w:sz w:val="32"/>
          <w:szCs w:val="32"/>
        </w:rPr>
        <w:t>保荐项目数量指标，根据评价年度保荐机构纳入上市公司质量评价范围的保荐上市项目的数量计算。</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8. 风险警示公司占比指标，根据截至评价年度末，保荐机构纳入上市公司质量评价的保荐上市项目中，风险警示公司的数量占比计算。</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hint="eastAsia" w:ascii="Times New Roman" w:hAnsi="Times New Roman" w:eastAsia="仿宋"/>
          <w:sz w:val="32"/>
          <w:szCs w:val="32"/>
        </w:rPr>
        <w:t>1</w:t>
      </w:r>
      <w:r>
        <w:rPr>
          <w:rFonts w:ascii="Times New Roman" w:hAnsi="Times New Roman" w:eastAsia="仿宋"/>
          <w:sz w:val="32"/>
          <w:szCs w:val="32"/>
        </w:rPr>
        <w:t>9</w:t>
      </w:r>
      <w:r>
        <w:rPr>
          <w:rFonts w:hint="eastAsia" w:ascii="Times New Roman" w:hAnsi="Times New Roman" w:eastAsia="仿宋"/>
          <w:sz w:val="32"/>
          <w:szCs w:val="32"/>
        </w:rPr>
        <w:t>.</w:t>
      </w:r>
      <w:r>
        <w:rPr>
          <w:rFonts w:ascii="Times New Roman" w:hAnsi="Times New Roman" w:eastAsia="仿宋"/>
          <w:sz w:val="32"/>
          <w:szCs w:val="32"/>
        </w:rPr>
        <w:t xml:space="preserve"> 强制退市公司占比指标，根据截至评价年度末，保荐机构纳入上市公司质量评价的保荐上市项目中，强制退市公司的数量占比计算。因不可抗力触发财务退市的，不纳入强制退市公司数量统计。</w:t>
      </w:r>
    </w:p>
    <w:p>
      <w:pPr>
        <w:pStyle w:val="2"/>
        <w:tabs>
          <w:tab w:val="left" w:pos="7513"/>
        </w:tabs>
        <w:overflowPunct w:val="0"/>
        <w:adjustRightInd w:val="0"/>
        <w:snapToGrid w:val="0"/>
        <w:spacing w:line="600" w:lineRule="exact"/>
        <w:ind w:left="0" w:firstLine="640" w:firstLineChars="200"/>
        <w:jc w:val="both"/>
        <w:rPr>
          <w:rFonts w:ascii="Times New Roman" w:hAnsi="Times New Roman" w:eastAsia="仿宋"/>
          <w:sz w:val="32"/>
          <w:szCs w:val="32"/>
        </w:rPr>
      </w:pPr>
      <w:r>
        <w:rPr>
          <w:rFonts w:ascii="Times New Roman" w:hAnsi="Times New Roman" w:eastAsia="仿宋"/>
          <w:sz w:val="32"/>
          <w:szCs w:val="32"/>
        </w:rPr>
        <w:t>20</w:t>
      </w:r>
      <w:r>
        <w:rPr>
          <w:rFonts w:hint="eastAsia" w:ascii="Times New Roman" w:hAnsi="Times New Roman" w:eastAsia="仿宋"/>
          <w:sz w:val="32"/>
          <w:szCs w:val="32"/>
        </w:rPr>
        <w:t xml:space="preserve">. </w:t>
      </w:r>
      <w:r>
        <w:rPr>
          <w:rFonts w:ascii="Times New Roman" w:hAnsi="Times New Roman" w:eastAsia="仿宋"/>
          <w:sz w:val="32"/>
          <w:szCs w:val="32"/>
        </w:rPr>
        <w:t>重大执业质量问题指标，根据评价年度保荐机构已保荐的公司是否涉及欺诈发行、重大财务造假或其他重大违法行为计算。重大财务造假或其他重大违法行为发生在公司上市满3年后的，不纳入重大执业质量问题统计。</w:t>
      </w:r>
    </w:p>
    <w:p>
      <w:pPr>
        <w:rPr>
          <w:rFonts w:ascii="Times New Roman" w:hAnsi="Times New Roman" w:eastAsia="仿宋"/>
          <w:sz w:val="32"/>
          <w:szCs w:val="32"/>
        </w:rPr>
      </w:pPr>
    </w:p>
    <w:sectPr>
      <w:footerReference r:id="rId5" w:type="default"/>
      <w:footerReference r:id="rId6"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4540328"/>
    </w:sdtPr>
    <w:sdtEndPr>
      <w:rPr>
        <w:rFonts w:cs="Times New Roman" w:asciiTheme="minorEastAsia" w:hAnsiTheme="minorEastAsia" w:eastAsiaTheme="minorEastAsia"/>
        <w:sz w:val="28"/>
      </w:rPr>
    </w:sdtEndPr>
    <w:sdtContent>
      <w:p>
        <w:pPr>
          <w:pStyle w:val="4"/>
          <w:jc w:val="right"/>
          <w:rPr>
            <w:rFonts w:cs="Times New Roman" w:asciiTheme="minorEastAsia" w:hAnsiTheme="minorEastAsia" w:eastAsiaTheme="minorEastAsia"/>
            <w:sz w:val="28"/>
          </w:rPr>
        </w:pPr>
        <w:r>
          <w:rPr>
            <w:rFonts w:cs="Times New Roman" w:asciiTheme="minorEastAsia" w:hAnsiTheme="minorEastAsia" w:eastAsiaTheme="minorEastAsia"/>
            <w:sz w:val="28"/>
          </w:rPr>
          <w:fldChar w:fldCharType="begin"/>
        </w:r>
        <w:r>
          <w:rPr>
            <w:rFonts w:cs="Times New Roman" w:asciiTheme="minorEastAsia" w:hAnsiTheme="minorEastAsia" w:eastAsiaTheme="minorEastAsia"/>
            <w:sz w:val="28"/>
          </w:rPr>
          <w:instrText xml:space="preserve">PAGE   \* MERGEFORMAT</w:instrText>
        </w:r>
        <w:r>
          <w:rPr>
            <w:rFonts w:cs="Times New Roman" w:asciiTheme="minorEastAsia" w:hAnsiTheme="minorEastAsia" w:eastAsiaTheme="minorEastAsia"/>
            <w:sz w:val="28"/>
          </w:rPr>
          <w:fldChar w:fldCharType="separate"/>
        </w:r>
        <w:r>
          <w:rPr>
            <w:rFonts w:cs="Times New Roman" w:asciiTheme="minorEastAsia" w:hAnsiTheme="minorEastAsia" w:eastAsiaTheme="minorEastAsia"/>
            <w:sz w:val="28"/>
            <w:lang w:val="zh-CN"/>
          </w:rPr>
          <w:t>-</w:t>
        </w:r>
        <w:r>
          <w:rPr>
            <w:rFonts w:cs="Times New Roman" w:asciiTheme="minorEastAsia" w:hAnsiTheme="minorEastAsia" w:eastAsiaTheme="minorEastAsia"/>
            <w:sz w:val="28"/>
          </w:rPr>
          <w:t xml:space="preserve"> 9 -</w:t>
        </w:r>
        <w:r>
          <w:rPr>
            <w:rFonts w:cs="Times New Roman" w:asciiTheme="minorEastAsia" w:hAnsiTheme="minorEastAsia" w:eastAsiaTheme="minorEastAsia"/>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rPr>
      <w:id w:val="1559825162"/>
    </w:sdtPr>
    <w:sdtEndPr>
      <w:rPr>
        <w:rFonts w:cs="Times New Roman" w:asciiTheme="minorEastAsia" w:hAnsiTheme="minorEastAsia" w:eastAsiaTheme="minorEastAsia"/>
        <w:sz w:val="28"/>
      </w:rPr>
    </w:sdtEndPr>
    <w:sdtContent>
      <w:p>
        <w:pPr>
          <w:pStyle w:val="4"/>
          <w:rPr>
            <w:rFonts w:cs="Times New Roman" w:asciiTheme="minorEastAsia" w:hAnsiTheme="minorEastAsia" w:eastAsiaTheme="minorEastAsia"/>
            <w:sz w:val="28"/>
          </w:rPr>
        </w:pPr>
        <w:r>
          <w:rPr>
            <w:rFonts w:cs="Times New Roman" w:asciiTheme="minorEastAsia" w:hAnsiTheme="minorEastAsia" w:eastAsiaTheme="minorEastAsia"/>
            <w:sz w:val="28"/>
          </w:rPr>
          <w:fldChar w:fldCharType="begin"/>
        </w:r>
        <w:r>
          <w:rPr>
            <w:rFonts w:cs="Times New Roman" w:asciiTheme="minorEastAsia" w:hAnsiTheme="minorEastAsia" w:eastAsiaTheme="minorEastAsia"/>
            <w:sz w:val="28"/>
          </w:rPr>
          <w:instrText xml:space="preserve">PAGE   \* MERGEFORMAT</w:instrText>
        </w:r>
        <w:r>
          <w:rPr>
            <w:rFonts w:cs="Times New Roman" w:asciiTheme="minorEastAsia" w:hAnsiTheme="minorEastAsia" w:eastAsiaTheme="minorEastAsia"/>
            <w:sz w:val="28"/>
          </w:rPr>
          <w:fldChar w:fldCharType="separate"/>
        </w:r>
        <w:r>
          <w:rPr>
            <w:rFonts w:cs="Times New Roman" w:asciiTheme="minorEastAsia" w:hAnsiTheme="minorEastAsia" w:eastAsiaTheme="minorEastAsia"/>
            <w:sz w:val="28"/>
            <w:lang w:val="zh-CN"/>
          </w:rPr>
          <w:t>-</w:t>
        </w:r>
        <w:r>
          <w:rPr>
            <w:rFonts w:cs="Times New Roman" w:asciiTheme="minorEastAsia" w:hAnsiTheme="minorEastAsia" w:eastAsiaTheme="minorEastAsia"/>
            <w:sz w:val="28"/>
          </w:rPr>
          <w:t xml:space="preserve"> 10 -</w:t>
        </w:r>
        <w:r>
          <w:rPr>
            <w:rFonts w:cs="Times New Roman" w:asciiTheme="minorEastAsia" w:hAnsiTheme="minorEastAsia" w:eastAsiaTheme="minorEastAsia"/>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362881"/>
    </w:sdtPr>
    <w:sdtEndPr>
      <w:rPr>
        <w:rFonts w:cs="Times New Roman" w:asciiTheme="minorEastAsia" w:hAnsiTheme="minorEastAsia" w:eastAsiaTheme="minorEastAsia"/>
        <w:sz w:val="28"/>
      </w:rPr>
    </w:sdtEndPr>
    <w:sdtContent>
      <w:p>
        <w:pPr>
          <w:pStyle w:val="4"/>
          <w:jc w:val="right"/>
          <w:rPr>
            <w:rFonts w:cs="Times New Roman" w:asciiTheme="minorEastAsia" w:hAnsiTheme="minorEastAsia" w:eastAsiaTheme="minorEastAsia"/>
            <w:sz w:val="28"/>
          </w:rPr>
        </w:pPr>
        <w:r>
          <w:rPr>
            <w:rFonts w:cs="Times New Roman" w:asciiTheme="minorEastAsia" w:hAnsiTheme="minorEastAsia" w:eastAsiaTheme="minorEastAsia"/>
            <w:sz w:val="28"/>
          </w:rPr>
          <w:fldChar w:fldCharType="begin"/>
        </w:r>
        <w:r>
          <w:rPr>
            <w:rFonts w:cs="Times New Roman" w:asciiTheme="minorEastAsia" w:hAnsiTheme="minorEastAsia" w:eastAsiaTheme="minorEastAsia"/>
            <w:sz w:val="28"/>
          </w:rPr>
          <w:instrText xml:space="preserve">PAGE   \* MERGEFORMAT</w:instrText>
        </w:r>
        <w:r>
          <w:rPr>
            <w:rFonts w:cs="Times New Roman" w:asciiTheme="minorEastAsia" w:hAnsiTheme="minorEastAsia" w:eastAsiaTheme="minorEastAsia"/>
            <w:sz w:val="28"/>
          </w:rPr>
          <w:fldChar w:fldCharType="separate"/>
        </w:r>
        <w:r>
          <w:rPr>
            <w:rFonts w:cs="Times New Roman" w:asciiTheme="minorEastAsia" w:hAnsiTheme="minorEastAsia" w:eastAsiaTheme="minorEastAsia"/>
            <w:sz w:val="28"/>
            <w:lang w:val="zh-CN"/>
          </w:rPr>
          <w:t>-</w:t>
        </w:r>
        <w:r>
          <w:rPr>
            <w:rFonts w:cs="Times New Roman" w:asciiTheme="minorEastAsia" w:hAnsiTheme="minorEastAsia" w:eastAsiaTheme="minorEastAsia"/>
            <w:sz w:val="28"/>
          </w:rPr>
          <w:t xml:space="preserve"> 13 -</w:t>
        </w:r>
        <w:r>
          <w:rPr>
            <w:rFonts w:cs="Times New Roman" w:asciiTheme="minorEastAsia" w:hAnsiTheme="minorEastAsia" w:eastAsiaTheme="minorEastAsia"/>
            <w:sz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rPr>
      <w:id w:val="-1093851077"/>
    </w:sdtPr>
    <w:sdtEndPr>
      <w:rPr>
        <w:rFonts w:cs="Times New Roman" w:asciiTheme="minorEastAsia" w:hAnsiTheme="minorEastAsia" w:eastAsiaTheme="minorEastAsia"/>
        <w:sz w:val="28"/>
      </w:rPr>
    </w:sdtEndPr>
    <w:sdtContent>
      <w:p>
        <w:pPr>
          <w:pStyle w:val="4"/>
          <w:rPr>
            <w:rFonts w:cs="Times New Roman" w:asciiTheme="minorEastAsia" w:hAnsiTheme="minorEastAsia" w:eastAsiaTheme="minorEastAsia"/>
            <w:sz w:val="28"/>
          </w:rPr>
        </w:pPr>
        <w:r>
          <w:rPr>
            <w:rFonts w:cs="Times New Roman" w:asciiTheme="minorEastAsia" w:hAnsiTheme="minorEastAsia" w:eastAsiaTheme="minorEastAsia"/>
            <w:sz w:val="28"/>
          </w:rPr>
          <w:fldChar w:fldCharType="begin"/>
        </w:r>
        <w:r>
          <w:rPr>
            <w:rFonts w:cs="Times New Roman" w:asciiTheme="minorEastAsia" w:hAnsiTheme="minorEastAsia" w:eastAsiaTheme="minorEastAsia"/>
            <w:sz w:val="28"/>
          </w:rPr>
          <w:instrText xml:space="preserve">PAGE   \* MERGEFORMAT</w:instrText>
        </w:r>
        <w:r>
          <w:rPr>
            <w:rFonts w:cs="Times New Roman" w:asciiTheme="minorEastAsia" w:hAnsiTheme="minorEastAsia" w:eastAsiaTheme="minorEastAsia"/>
            <w:sz w:val="28"/>
          </w:rPr>
          <w:fldChar w:fldCharType="separate"/>
        </w:r>
        <w:r>
          <w:rPr>
            <w:rFonts w:cs="Times New Roman" w:asciiTheme="minorEastAsia" w:hAnsiTheme="minorEastAsia" w:eastAsiaTheme="minorEastAsia"/>
            <w:sz w:val="28"/>
            <w:lang w:val="zh-CN"/>
          </w:rPr>
          <w:t>-</w:t>
        </w:r>
        <w:r>
          <w:rPr>
            <w:rFonts w:cs="Times New Roman" w:asciiTheme="minorEastAsia" w:hAnsiTheme="minorEastAsia" w:eastAsiaTheme="minorEastAsia"/>
            <w:sz w:val="28"/>
          </w:rPr>
          <w:t xml:space="preserve"> 12 -</w:t>
        </w:r>
        <w:r>
          <w:rPr>
            <w:rFonts w:cs="Times New Roman" w:asciiTheme="minorEastAsia" w:hAnsiTheme="minorEastAsia" w:eastAsiaTheme="minorEastAsia"/>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A7"/>
    <w:rsid w:val="00003088"/>
    <w:rsid w:val="00010A9A"/>
    <w:rsid w:val="0001608D"/>
    <w:rsid w:val="000216DC"/>
    <w:rsid w:val="00025945"/>
    <w:rsid w:val="000320C5"/>
    <w:rsid w:val="0003446A"/>
    <w:rsid w:val="000356B6"/>
    <w:rsid w:val="00035EF8"/>
    <w:rsid w:val="00040A47"/>
    <w:rsid w:val="00044134"/>
    <w:rsid w:val="00051072"/>
    <w:rsid w:val="00052628"/>
    <w:rsid w:val="00055AFB"/>
    <w:rsid w:val="000569C6"/>
    <w:rsid w:val="00057885"/>
    <w:rsid w:val="00062C56"/>
    <w:rsid w:val="000726D0"/>
    <w:rsid w:val="00074C60"/>
    <w:rsid w:val="000761C6"/>
    <w:rsid w:val="00076778"/>
    <w:rsid w:val="0008532B"/>
    <w:rsid w:val="000944CE"/>
    <w:rsid w:val="000A45B4"/>
    <w:rsid w:val="000C2729"/>
    <w:rsid w:val="000E1784"/>
    <w:rsid w:val="000E2FCA"/>
    <w:rsid w:val="000E7534"/>
    <w:rsid w:val="000F4940"/>
    <w:rsid w:val="000F79FB"/>
    <w:rsid w:val="000F7AC9"/>
    <w:rsid w:val="00107858"/>
    <w:rsid w:val="00115222"/>
    <w:rsid w:val="0011610C"/>
    <w:rsid w:val="0012037B"/>
    <w:rsid w:val="00120893"/>
    <w:rsid w:val="00130DDC"/>
    <w:rsid w:val="00134F01"/>
    <w:rsid w:val="001420A5"/>
    <w:rsid w:val="00143D4F"/>
    <w:rsid w:val="001460F3"/>
    <w:rsid w:val="001467E5"/>
    <w:rsid w:val="00153240"/>
    <w:rsid w:val="00157E1D"/>
    <w:rsid w:val="0017002E"/>
    <w:rsid w:val="00170B7D"/>
    <w:rsid w:val="00171467"/>
    <w:rsid w:val="00181A62"/>
    <w:rsid w:val="0018576D"/>
    <w:rsid w:val="001876FD"/>
    <w:rsid w:val="001957FC"/>
    <w:rsid w:val="001A0AD4"/>
    <w:rsid w:val="001A3B18"/>
    <w:rsid w:val="001A3C1C"/>
    <w:rsid w:val="001A621D"/>
    <w:rsid w:val="001B0F8C"/>
    <w:rsid w:val="001C020C"/>
    <w:rsid w:val="001C3A8F"/>
    <w:rsid w:val="001C4EEA"/>
    <w:rsid w:val="001C58B0"/>
    <w:rsid w:val="001D0681"/>
    <w:rsid w:val="001D4843"/>
    <w:rsid w:val="001E50EA"/>
    <w:rsid w:val="001E5747"/>
    <w:rsid w:val="001E58BC"/>
    <w:rsid w:val="001F068D"/>
    <w:rsid w:val="001F6A2F"/>
    <w:rsid w:val="002035EB"/>
    <w:rsid w:val="0020592E"/>
    <w:rsid w:val="0020735C"/>
    <w:rsid w:val="002077EB"/>
    <w:rsid w:val="00211FAC"/>
    <w:rsid w:val="00221F07"/>
    <w:rsid w:val="00222384"/>
    <w:rsid w:val="002250F0"/>
    <w:rsid w:val="0022759C"/>
    <w:rsid w:val="00234EEE"/>
    <w:rsid w:val="00243442"/>
    <w:rsid w:val="00254CF0"/>
    <w:rsid w:val="00265C2B"/>
    <w:rsid w:val="00286237"/>
    <w:rsid w:val="00290DD4"/>
    <w:rsid w:val="00295D85"/>
    <w:rsid w:val="002A3A57"/>
    <w:rsid w:val="002A7AB7"/>
    <w:rsid w:val="002B3DDE"/>
    <w:rsid w:val="002C0975"/>
    <w:rsid w:val="002C0C05"/>
    <w:rsid w:val="002C5FA7"/>
    <w:rsid w:val="002C68FA"/>
    <w:rsid w:val="002D0FF1"/>
    <w:rsid w:val="002D3165"/>
    <w:rsid w:val="002E207A"/>
    <w:rsid w:val="002E3E65"/>
    <w:rsid w:val="002E52FB"/>
    <w:rsid w:val="002F68B9"/>
    <w:rsid w:val="00302B5A"/>
    <w:rsid w:val="00303FD3"/>
    <w:rsid w:val="00306609"/>
    <w:rsid w:val="003169D2"/>
    <w:rsid w:val="00317892"/>
    <w:rsid w:val="003258F4"/>
    <w:rsid w:val="00332B45"/>
    <w:rsid w:val="00336830"/>
    <w:rsid w:val="00341EB4"/>
    <w:rsid w:val="00345518"/>
    <w:rsid w:val="00346817"/>
    <w:rsid w:val="003511E6"/>
    <w:rsid w:val="00352748"/>
    <w:rsid w:val="00360AB4"/>
    <w:rsid w:val="003667C5"/>
    <w:rsid w:val="00367421"/>
    <w:rsid w:val="00371FC4"/>
    <w:rsid w:val="0038326B"/>
    <w:rsid w:val="00393DE6"/>
    <w:rsid w:val="0039416D"/>
    <w:rsid w:val="00396D48"/>
    <w:rsid w:val="003A41E8"/>
    <w:rsid w:val="003A4283"/>
    <w:rsid w:val="003A7D0F"/>
    <w:rsid w:val="003B41C4"/>
    <w:rsid w:val="003B4C48"/>
    <w:rsid w:val="003B5C41"/>
    <w:rsid w:val="003C40D5"/>
    <w:rsid w:val="003D3265"/>
    <w:rsid w:val="003E630B"/>
    <w:rsid w:val="003F0769"/>
    <w:rsid w:val="00404FC1"/>
    <w:rsid w:val="004056FF"/>
    <w:rsid w:val="004108BF"/>
    <w:rsid w:val="00411018"/>
    <w:rsid w:val="00412048"/>
    <w:rsid w:val="004168F5"/>
    <w:rsid w:val="00416938"/>
    <w:rsid w:val="0043366E"/>
    <w:rsid w:val="00445913"/>
    <w:rsid w:val="00447149"/>
    <w:rsid w:val="004507C1"/>
    <w:rsid w:val="0045529C"/>
    <w:rsid w:val="004637A1"/>
    <w:rsid w:val="00463D26"/>
    <w:rsid w:val="004642C2"/>
    <w:rsid w:val="004719EC"/>
    <w:rsid w:val="00474529"/>
    <w:rsid w:val="00485773"/>
    <w:rsid w:val="00485A0F"/>
    <w:rsid w:val="00490D4C"/>
    <w:rsid w:val="00491C77"/>
    <w:rsid w:val="004A40F5"/>
    <w:rsid w:val="004B1DFF"/>
    <w:rsid w:val="004C0C9F"/>
    <w:rsid w:val="004C5641"/>
    <w:rsid w:val="004D06DC"/>
    <w:rsid w:val="004D07B7"/>
    <w:rsid w:val="004E7333"/>
    <w:rsid w:val="004E767F"/>
    <w:rsid w:val="004F09DE"/>
    <w:rsid w:val="004F312B"/>
    <w:rsid w:val="004F32CD"/>
    <w:rsid w:val="00503612"/>
    <w:rsid w:val="005123FC"/>
    <w:rsid w:val="00517F6F"/>
    <w:rsid w:val="005201F6"/>
    <w:rsid w:val="0052650E"/>
    <w:rsid w:val="0053276B"/>
    <w:rsid w:val="00541C70"/>
    <w:rsid w:val="005423EC"/>
    <w:rsid w:val="0054677E"/>
    <w:rsid w:val="00547C4C"/>
    <w:rsid w:val="00547DB6"/>
    <w:rsid w:val="00551A12"/>
    <w:rsid w:val="00551A16"/>
    <w:rsid w:val="00551B76"/>
    <w:rsid w:val="00552258"/>
    <w:rsid w:val="00554E85"/>
    <w:rsid w:val="00565AEB"/>
    <w:rsid w:val="00572B7C"/>
    <w:rsid w:val="00574212"/>
    <w:rsid w:val="00575CA2"/>
    <w:rsid w:val="005765BC"/>
    <w:rsid w:val="0057767D"/>
    <w:rsid w:val="00583134"/>
    <w:rsid w:val="005839C7"/>
    <w:rsid w:val="0058488D"/>
    <w:rsid w:val="00585F16"/>
    <w:rsid w:val="00586852"/>
    <w:rsid w:val="00587986"/>
    <w:rsid w:val="00592993"/>
    <w:rsid w:val="00596A36"/>
    <w:rsid w:val="00597133"/>
    <w:rsid w:val="005977AA"/>
    <w:rsid w:val="005A3731"/>
    <w:rsid w:val="005B1286"/>
    <w:rsid w:val="005B1372"/>
    <w:rsid w:val="005B451B"/>
    <w:rsid w:val="005B5D65"/>
    <w:rsid w:val="005B7C45"/>
    <w:rsid w:val="005C3B37"/>
    <w:rsid w:val="005E0308"/>
    <w:rsid w:val="005E11BA"/>
    <w:rsid w:val="005E395A"/>
    <w:rsid w:val="005E3E68"/>
    <w:rsid w:val="005F0117"/>
    <w:rsid w:val="005F24BA"/>
    <w:rsid w:val="005F2836"/>
    <w:rsid w:val="005F3D09"/>
    <w:rsid w:val="005F6259"/>
    <w:rsid w:val="00604951"/>
    <w:rsid w:val="006061A8"/>
    <w:rsid w:val="006213AD"/>
    <w:rsid w:val="00621C55"/>
    <w:rsid w:val="006249E0"/>
    <w:rsid w:val="00626C9D"/>
    <w:rsid w:val="00641586"/>
    <w:rsid w:val="006601CA"/>
    <w:rsid w:val="00675381"/>
    <w:rsid w:val="00675A0F"/>
    <w:rsid w:val="006807F9"/>
    <w:rsid w:val="0068231F"/>
    <w:rsid w:val="00683B4E"/>
    <w:rsid w:val="0068444C"/>
    <w:rsid w:val="00685680"/>
    <w:rsid w:val="006A1136"/>
    <w:rsid w:val="006A5133"/>
    <w:rsid w:val="006B0ABD"/>
    <w:rsid w:val="006B62F3"/>
    <w:rsid w:val="006C4AD3"/>
    <w:rsid w:val="006C7464"/>
    <w:rsid w:val="006D27EA"/>
    <w:rsid w:val="006E2BD2"/>
    <w:rsid w:val="006E6A18"/>
    <w:rsid w:val="006F744E"/>
    <w:rsid w:val="00701BF6"/>
    <w:rsid w:val="00704DFD"/>
    <w:rsid w:val="00706B7C"/>
    <w:rsid w:val="0072290C"/>
    <w:rsid w:val="00723BF4"/>
    <w:rsid w:val="00724523"/>
    <w:rsid w:val="0072491F"/>
    <w:rsid w:val="00733A61"/>
    <w:rsid w:val="007448BC"/>
    <w:rsid w:val="00744D63"/>
    <w:rsid w:val="00746309"/>
    <w:rsid w:val="00756717"/>
    <w:rsid w:val="00772246"/>
    <w:rsid w:val="00773BA5"/>
    <w:rsid w:val="007746D4"/>
    <w:rsid w:val="00774B80"/>
    <w:rsid w:val="00775996"/>
    <w:rsid w:val="00777BE0"/>
    <w:rsid w:val="00790713"/>
    <w:rsid w:val="00793995"/>
    <w:rsid w:val="00794142"/>
    <w:rsid w:val="007970E3"/>
    <w:rsid w:val="007A07EF"/>
    <w:rsid w:val="007A3215"/>
    <w:rsid w:val="007D31C1"/>
    <w:rsid w:val="007D3475"/>
    <w:rsid w:val="007D6277"/>
    <w:rsid w:val="007D6932"/>
    <w:rsid w:val="007D783C"/>
    <w:rsid w:val="007E1049"/>
    <w:rsid w:val="007E5B1A"/>
    <w:rsid w:val="007F0290"/>
    <w:rsid w:val="00801B9E"/>
    <w:rsid w:val="00805A2D"/>
    <w:rsid w:val="00805E17"/>
    <w:rsid w:val="008148DA"/>
    <w:rsid w:val="008209A8"/>
    <w:rsid w:val="008209FE"/>
    <w:rsid w:val="00823135"/>
    <w:rsid w:val="00827193"/>
    <w:rsid w:val="00842308"/>
    <w:rsid w:val="00857B11"/>
    <w:rsid w:val="00864518"/>
    <w:rsid w:val="008660BC"/>
    <w:rsid w:val="00881341"/>
    <w:rsid w:val="00882734"/>
    <w:rsid w:val="00885CBC"/>
    <w:rsid w:val="00887F0A"/>
    <w:rsid w:val="008912B2"/>
    <w:rsid w:val="008B1E2D"/>
    <w:rsid w:val="008B6B1B"/>
    <w:rsid w:val="008B7C07"/>
    <w:rsid w:val="008C156A"/>
    <w:rsid w:val="008D0336"/>
    <w:rsid w:val="008D3020"/>
    <w:rsid w:val="008E021F"/>
    <w:rsid w:val="008F366D"/>
    <w:rsid w:val="008F76DD"/>
    <w:rsid w:val="0090390F"/>
    <w:rsid w:val="00904B0F"/>
    <w:rsid w:val="009108C2"/>
    <w:rsid w:val="009151DC"/>
    <w:rsid w:val="00920154"/>
    <w:rsid w:val="0092712D"/>
    <w:rsid w:val="00936853"/>
    <w:rsid w:val="00945B4C"/>
    <w:rsid w:val="00953324"/>
    <w:rsid w:val="00955CAB"/>
    <w:rsid w:val="00955DD4"/>
    <w:rsid w:val="00955EFB"/>
    <w:rsid w:val="009604F6"/>
    <w:rsid w:val="00964806"/>
    <w:rsid w:val="0097278B"/>
    <w:rsid w:val="00972862"/>
    <w:rsid w:val="00974D21"/>
    <w:rsid w:val="009776D0"/>
    <w:rsid w:val="00981CF2"/>
    <w:rsid w:val="00984FD7"/>
    <w:rsid w:val="0099101C"/>
    <w:rsid w:val="00994184"/>
    <w:rsid w:val="009B2122"/>
    <w:rsid w:val="009C08A7"/>
    <w:rsid w:val="009C5AAB"/>
    <w:rsid w:val="009C648D"/>
    <w:rsid w:val="009D782D"/>
    <w:rsid w:val="009D7E53"/>
    <w:rsid w:val="009E1171"/>
    <w:rsid w:val="009E3CEF"/>
    <w:rsid w:val="009E3FEE"/>
    <w:rsid w:val="009E4449"/>
    <w:rsid w:val="009F2DC1"/>
    <w:rsid w:val="009F3AAC"/>
    <w:rsid w:val="009F3CD6"/>
    <w:rsid w:val="00A01250"/>
    <w:rsid w:val="00A01D51"/>
    <w:rsid w:val="00A05FCC"/>
    <w:rsid w:val="00A06AB2"/>
    <w:rsid w:val="00A079D3"/>
    <w:rsid w:val="00A1381D"/>
    <w:rsid w:val="00A21BD2"/>
    <w:rsid w:val="00A223FA"/>
    <w:rsid w:val="00A30948"/>
    <w:rsid w:val="00A4452B"/>
    <w:rsid w:val="00A4488F"/>
    <w:rsid w:val="00A4592B"/>
    <w:rsid w:val="00A560C2"/>
    <w:rsid w:val="00A57B8A"/>
    <w:rsid w:val="00A609CE"/>
    <w:rsid w:val="00A70955"/>
    <w:rsid w:val="00A868E5"/>
    <w:rsid w:val="00A9030B"/>
    <w:rsid w:val="00A94C10"/>
    <w:rsid w:val="00A968F3"/>
    <w:rsid w:val="00AB5CF5"/>
    <w:rsid w:val="00AB73D1"/>
    <w:rsid w:val="00AC0F0B"/>
    <w:rsid w:val="00AC1E45"/>
    <w:rsid w:val="00AC7134"/>
    <w:rsid w:val="00AC7321"/>
    <w:rsid w:val="00AC79B8"/>
    <w:rsid w:val="00AD6964"/>
    <w:rsid w:val="00AD7061"/>
    <w:rsid w:val="00AD77B1"/>
    <w:rsid w:val="00AE2B88"/>
    <w:rsid w:val="00AE32F9"/>
    <w:rsid w:val="00AE4656"/>
    <w:rsid w:val="00AE76D0"/>
    <w:rsid w:val="00AF5690"/>
    <w:rsid w:val="00AF5AB9"/>
    <w:rsid w:val="00B104D5"/>
    <w:rsid w:val="00B13C77"/>
    <w:rsid w:val="00B143ED"/>
    <w:rsid w:val="00B1504C"/>
    <w:rsid w:val="00B152D8"/>
    <w:rsid w:val="00B22CD8"/>
    <w:rsid w:val="00B23710"/>
    <w:rsid w:val="00B34109"/>
    <w:rsid w:val="00B409F6"/>
    <w:rsid w:val="00B42B63"/>
    <w:rsid w:val="00B52D71"/>
    <w:rsid w:val="00B61E17"/>
    <w:rsid w:val="00B754B2"/>
    <w:rsid w:val="00B75FC7"/>
    <w:rsid w:val="00B81E89"/>
    <w:rsid w:val="00B82D1A"/>
    <w:rsid w:val="00B92373"/>
    <w:rsid w:val="00B93774"/>
    <w:rsid w:val="00B9632C"/>
    <w:rsid w:val="00BA2DAD"/>
    <w:rsid w:val="00BB0D2A"/>
    <w:rsid w:val="00BB4946"/>
    <w:rsid w:val="00BC2071"/>
    <w:rsid w:val="00BC3A08"/>
    <w:rsid w:val="00BC5A67"/>
    <w:rsid w:val="00BD07AD"/>
    <w:rsid w:val="00BD0C53"/>
    <w:rsid w:val="00BD3F4A"/>
    <w:rsid w:val="00BD4F09"/>
    <w:rsid w:val="00BD7110"/>
    <w:rsid w:val="00BE2B56"/>
    <w:rsid w:val="00BE2F9B"/>
    <w:rsid w:val="00BE3015"/>
    <w:rsid w:val="00BE3858"/>
    <w:rsid w:val="00BE791D"/>
    <w:rsid w:val="00BF74A0"/>
    <w:rsid w:val="00C1348C"/>
    <w:rsid w:val="00C1469D"/>
    <w:rsid w:val="00C20F9B"/>
    <w:rsid w:val="00C2568D"/>
    <w:rsid w:val="00C3501E"/>
    <w:rsid w:val="00C442F4"/>
    <w:rsid w:val="00C45E63"/>
    <w:rsid w:val="00C55100"/>
    <w:rsid w:val="00C551E2"/>
    <w:rsid w:val="00C57B74"/>
    <w:rsid w:val="00C57F48"/>
    <w:rsid w:val="00C60CC6"/>
    <w:rsid w:val="00C66028"/>
    <w:rsid w:val="00C66592"/>
    <w:rsid w:val="00C96ACC"/>
    <w:rsid w:val="00C96E18"/>
    <w:rsid w:val="00C973BE"/>
    <w:rsid w:val="00CA1251"/>
    <w:rsid w:val="00CA2393"/>
    <w:rsid w:val="00CA349F"/>
    <w:rsid w:val="00CA3B32"/>
    <w:rsid w:val="00CB22A9"/>
    <w:rsid w:val="00CB3FD2"/>
    <w:rsid w:val="00CD4565"/>
    <w:rsid w:val="00CE4ED2"/>
    <w:rsid w:val="00D0002B"/>
    <w:rsid w:val="00D009CA"/>
    <w:rsid w:val="00D03DFD"/>
    <w:rsid w:val="00D05A98"/>
    <w:rsid w:val="00D15B77"/>
    <w:rsid w:val="00D223B2"/>
    <w:rsid w:val="00D34116"/>
    <w:rsid w:val="00D36893"/>
    <w:rsid w:val="00D5224E"/>
    <w:rsid w:val="00D5773E"/>
    <w:rsid w:val="00D63187"/>
    <w:rsid w:val="00D66916"/>
    <w:rsid w:val="00D74793"/>
    <w:rsid w:val="00D7747D"/>
    <w:rsid w:val="00D800C7"/>
    <w:rsid w:val="00D8153B"/>
    <w:rsid w:val="00D82D88"/>
    <w:rsid w:val="00D84B48"/>
    <w:rsid w:val="00D86AEB"/>
    <w:rsid w:val="00D90B41"/>
    <w:rsid w:val="00D9315F"/>
    <w:rsid w:val="00DA2543"/>
    <w:rsid w:val="00DA3870"/>
    <w:rsid w:val="00DA69A1"/>
    <w:rsid w:val="00DA74EC"/>
    <w:rsid w:val="00DA788F"/>
    <w:rsid w:val="00DB2C37"/>
    <w:rsid w:val="00DB3A1B"/>
    <w:rsid w:val="00DB4516"/>
    <w:rsid w:val="00DC07D2"/>
    <w:rsid w:val="00DD3ECC"/>
    <w:rsid w:val="00DD49F9"/>
    <w:rsid w:val="00DF2A84"/>
    <w:rsid w:val="00DF353C"/>
    <w:rsid w:val="00DF3653"/>
    <w:rsid w:val="00E05231"/>
    <w:rsid w:val="00E120AF"/>
    <w:rsid w:val="00E133B1"/>
    <w:rsid w:val="00E15D41"/>
    <w:rsid w:val="00E307C7"/>
    <w:rsid w:val="00E317FA"/>
    <w:rsid w:val="00E31A81"/>
    <w:rsid w:val="00E43B68"/>
    <w:rsid w:val="00E45435"/>
    <w:rsid w:val="00E53773"/>
    <w:rsid w:val="00E57468"/>
    <w:rsid w:val="00E62AEC"/>
    <w:rsid w:val="00E63F5D"/>
    <w:rsid w:val="00E8793B"/>
    <w:rsid w:val="00EA01A9"/>
    <w:rsid w:val="00EA1965"/>
    <w:rsid w:val="00EB1069"/>
    <w:rsid w:val="00EB2081"/>
    <w:rsid w:val="00EB393B"/>
    <w:rsid w:val="00EC5F6E"/>
    <w:rsid w:val="00EC7D97"/>
    <w:rsid w:val="00ED0E22"/>
    <w:rsid w:val="00EF254A"/>
    <w:rsid w:val="00EF7A32"/>
    <w:rsid w:val="00F0025C"/>
    <w:rsid w:val="00F03AB8"/>
    <w:rsid w:val="00F11800"/>
    <w:rsid w:val="00F2193C"/>
    <w:rsid w:val="00F21D43"/>
    <w:rsid w:val="00F263EE"/>
    <w:rsid w:val="00F30CF9"/>
    <w:rsid w:val="00F32B49"/>
    <w:rsid w:val="00F3621A"/>
    <w:rsid w:val="00F3677D"/>
    <w:rsid w:val="00F40960"/>
    <w:rsid w:val="00F40E15"/>
    <w:rsid w:val="00F56EA9"/>
    <w:rsid w:val="00F571D6"/>
    <w:rsid w:val="00F6040C"/>
    <w:rsid w:val="00F62827"/>
    <w:rsid w:val="00F65A80"/>
    <w:rsid w:val="00F7528F"/>
    <w:rsid w:val="00F77381"/>
    <w:rsid w:val="00F84AD2"/>
    <w:rsid w:val="00F9704C"/>
    <w:rsid w:val="00FA3F8C"/>
    <w:rsid w:val="00FB4C74"/>
    <w:rsid w:val="00FB4FB7"/>
    <w:rsid w:val="00FB5EBB"/>
    <w:rsid w:val="00FB6307"/>
    <w:rsid w:val="00FC0619"/>
    <w:rsid w:val="00FC17AB"/>
    <w:rsid w:val="00FC2C4C"/>
    <w:rsid w:val="00FD5C42"/>
    <w:rsid w:val="00FF36ED"/>
    <w:rsid w:val="0F4A4610"/>
    <w:rsid w:val="3EFB0025"/>
    <w:rsid w:val="3F997872"/>
    <w:rsid w:val="3FF91DC6"/>
    <w:rsid w:val="42EBBB17"/>
    <w:rsid w:val="57CB1C12"/>
    <w:rsid w:val="5E764BD4"/>
    <w:rsid w:val="5EFD1A9A"/>
    <w:rsid w:val="5F2F761F"/>
    <w:rsid w:val="5FBDB2EE"/>
    <w:rsid w:val="67FF2B11"/>
    <w:rsid w:val="68F4D2B7"/>
    <w:rsid w:val="6EFF9332"/>
    <w:rsid w:val="77DE82AB"/>
    <w:rsid w:val="77F3121B"/>
    <w:rsid w:val="7AEF9CDC"/>
    <w:rsid w:val="7F375A53"/>
    <w:rsid w:val="7F675B67"/>
    <w:rsid w:val="7FB78DC7"/>
    <w:rsid w:val="7FBF9C64"/>
    <w:rsid w:val="86FD6C47"/>
    <w:rsid w:val="93FB9BEF"/>
    <w:rsid w:val="BAFD6F29"/>
    <w:rsid w:val="BEABA443"/>
    <w:rsid w:val="D7EDB90E"/>
    <w:rsid w:val="D9EBBE9B"/>
    <w:rsid w:val="E31B7D22"/>
    <w:rsid w:val="EDFFE8E8"/>
    <w:rsid w:val="F337B9D1"/>
    <w:rsid w:val="FBC7C2F7"/>
    <w:rsid w:val="FC6FED81"/>
    <w:rsid w:val="FDB30505"/>
    <w:rsid w:val="FFA93F0F"/>
    <w:rsid w:val="FFBF19E6"/>
    <w:rsid w:val="FFFBB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1"/>
    <w:pPr>
      <w:ind w:left="120"/>
    </w:pPr>
    <w:rPr>
      <w:sz w:val="30"/>
      <w:szCs w:val="30"/>
    </w:r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7"/>
    <w:semiHidden/>
    <w:unhideWhenUsed/>
    <w:qFormat/>
    <w:uiPriority w:val="99"/>
    <w:pPr>
      <w:autoSpaceDE/>
      <w:autoSpaceDN/>
      <w:snapToGrid w:val="0"/>
    </w:pPr>
    <w:rPr>
      <w:rFonts w:asciiTheme="minorHAnsi" w:hAnsiTheme="minorHAnsi" w:eastAsiaTheme="minorEastAsia" w:cstheme="minorBidi"/>
      <w:kern w:val="2"/>
      <w:sz w:val="18"/>
      <w:szCs w:val="18"/>
    </w:rPr>
  </w:style>
  <w:style w:type="paragraph" w:styleId="7">
    <w:name w:val="Normal (Web)"/>
    <w:basedOn w:val="1"/>
    <w:semiHidden/>
    <w:unhideWhenUsed/>
    <w:qFormat/>
    <w:uiPriority w:val="99"/>
    <w:rPr>
      <w:sz w:val="24"/>
    </w:r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正文文本 Char"/>
    <w:basedOn w:val="9"/>
    <w:link w:val="2"/>
    <w:qFormat/>
    <w:uiPriority w:val="1"/>
    <w:rPr>
      <w:rFonts w:ascii="宋体" w:hAnsi="宋体" w:eastAsia="宋体" w:cs="宋体"/>
      <w:kern w:val="0"/>
      <w:sz w:val="30"/>
      <w:szCs w:val="30"/>
    </w:rPr>
  </w:style>
  <w:style w:type="table" w:customStyle="1" w:styleId="1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5">
    <w:name w:val="Table Paragraph"/>
    <w:basedOn w:val="1"/>
    <w:qFormat/>
    <w:uiPriority w:val="1"/>
  </w:style>
  <w:style w:type="character" w:customStyle="1" w:styleId="16">
    <w:name w:val="批注框文本 Char"/>
    <w:basedOn w:val="9"/>
    <w:link w:val="3"/>
    <w:semiHidden/>
    <w:qFormat/>
    <w:uiPriority w:val="99"/>
    <w:rPr>
      <w:rFonts w:ascii="宋体" w:hAnsi="宋体" w:eastAsia="宋体" w:cs="宋体"/>
      <w:kern w:val="0"/>
      <w:sz w:val="18"/>
      <w:szCs w:val="18"/>
    </w:rPr>
  </w:style>
  <w:style w:type="character" w:customStyle="1" w:styleId="17">
    <w:name w:val="脚注文本 Char"/>
    <w:basedOn w:val="9"/>
    <w:link w:val="6"/>
    <w:semiHidden/>
    <w:qFormat/>
    <w:uiPriority w:val="99"/>
    <w:rPr>
      <w:kern w:val="2"/>
      <w:sz w:val="18"/>
      <w:szCs w:val="18"/>
    </w:rPr>
  </w:style>
  <w:style w:type="paragraph" w:customStyle="1" w:styleId="18">
    <w:name w:val="脚注文本1"/>
    <w:basedOn w:val="1"/>
    <w:next w:val="6"/>
    <w:semiHidden/>
    <w:unhideWhenUsed/>
    <w:qFormat/>
    <w:uiPriority w:val="99"/>
    <w:pPr>
      <w:autoSpaceDE/>
      <w:autoSpaceDN/>
      <w:snapToGrid w:val="0"/>
    </w:pPr>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4935</Words>
  <Characters>5096</Characters>
  <DocSecurity>0</DocSecurity>
  <Lines>38</Lines>
  <Paragraphs>10</Paragraphs>
  <ScaleCrop>false</ScaleCrop>
  <LinksUpToDate>false</LinksUpToDate>
  <CharactersWithSpaces>5154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2025-07-26T11:02:00Z</cp:lastPrinted>
  <dcterms:created xsi:type="dcterms:W3CDTF">2024-10-06T09:06:00Z</dcterms:created>
  <dcterms:modified xsi:type="dcterms:W3CDTF">2025-09-25T16:40:42Z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