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FFFD4" w14:textId="335C3CC4" w:rsidR="00EF4F65" w:rsidRPr="00EF4F65" w:rsidRDefault="00EF4F65" w:rsidP="00EF4F65">
      <w:pPr>
        <w:keepNext/>
        <w:keepLines/>
        <w:tabs>
          <w:tab w:val="center" w:pos="4477"/>
          <w:tab w:val="right" w:pos="8312"/>
        </w:tabs>
        <w:spacing w:beforeLines="200" w:before="480" w:afterLines="300" w:after="720"/>
        <w:ind w:firstLine="643"/>
        <w:jc w:val="center"/>
        <w:outlineLvl w:val="0"/>
        <w:rPr>
          <w:rFonts w:eastAsia="黑体" w:cs="Times New Roman"/>
          <w:b/>
          <w:bCs/>
          <w:kern w:val="44"/>
          <w:sz w:val="32"/>
          <w:szCs w:val="44"/>
        </w:rPr>
      </w:pPr>
      <w:r w:rsidRPr="00EF4F65">
        <w:rPr>
          <w:rFonts w:eastAsia="黑体" w:cs="Times New Roman" w:hint="eastAsia"/>
          <w:b/>
          <w:bCs/>
          <w:kern w:val="44"/>
          <w:sz w:val="32"/>
          <w:szCs w:val="44"/>
        </w:rPr>
        <w:t>上</w:t>
      </w:r>
      <w:r w:rsidR="00211F9F">
        <w:rPr>
          <w:rFonts w:eastAsia="黑体" w:cs="Times New Roman" w:hint="eastAsia"/>
          <w:b/>
          <w:bCs/>
          <w:kern w:val="44"/>
          <w:sz w:val="32"/>
          <w:szCs w:val="44"/>
        </w:rPr>
        <w:t>证</w:t>
      </w:r>
      <w:proofErr w:type="gramStart"/>
      <w:r w:rsidR="00211F9F">
        <w:rPr>
          <w:rFonts w:eastAsia="黑体" w:cs="Times New Roman" w:hint="eastAsia"/>
          <w:b/>
          <w:bCs/>
          <w:kern w:val="44"/>
          <w:sz w:val="32"/>
          <w:szCs w:val="44"/>
        </w:rPr>
        <w:t>科创板成长</w:t>
      </w:r>
      <w:proofErr w:type="gramEnd"/>
      <w:r w:rsidRPr="00EF4F65">
        <w:rPr>
          <w:rFonts w:eastAsia="黑体" w:cs="Times New Roman" w:hint="eastAsia"/>
          <w:b/>
          <w:bCs/>
          <w:kern w:val="44"/>
          <w:sz w:val="32"/>
          <w:szCs w:val="44"/>
        </w:rPr>
        <w:t>指数编制方案</w:t>
      </w:r>
    </w:p>
    <w:p w14:paraId="768614F8" w14:textId="2360D19F" w:rsidR="00EF4F65" w:rsidRPr="00EF4F65" w:rsidRDefault="00CA4FF8" w:rsidP="00EF4F65">
      <w:pPr>
        <w:spacing w:before="240" w:afterLines="200" w:after="480"/>
        <w:ind w:firstLine="480"/>
        <w:rPr>
          <w:rFonts w:cs="Times New Roman"/>
        </w:rPr>
      </w:pPr>
      <w:sdt>
        <w:sdtPr>
          <w:rPr>
            <w:rFonts w:cs="Times New Roman" w:hint="eastAsia"/>
          </w:rPr>
          <w:id w:val="-702320511"/>
          <w:placeholder>
            <w:docPart w:val="9B296005352F409A9353649DDD1E5647"/>
          </w:placeholder>
        </w:sdtPr>
        <w:sdtEndPr/>
        <w:sdtContent>
          <w:r w:rsidR="00CE79EC" w:rsidRPr="00CE79EC">
            <w:rPr>
              <w:rFonts w:cs="Times New Roman" w:hint="eastAsia"/>
            </w:rPr>
            <w:t>上证</w:t>
          </w:r>
          <w:proofErr w:type="gramStart"/>
          <w:r w:rsidR="00CE79EC" w:rsidRPr="00CE79EC">
            <w:rPr>
              <w:rFonts w:cs="Times New Roman" w:hint="eastAsia"/>
            </w:rPr>
            <w:t>科创板成长</w:t>
          </w:r>
          <w:proofErr w:type="gramEnd"/>
          <w:r w:rsidR="00CE79EC" w:rsidRPr="00CE79EC">
            <w:rPr>
              <w:rFonts w:cs="Times New Roman" w:hint="eastAsia"/>
            </w:rPr>
            <w:t>指数从</w:t>
          </w:r>
          <w:proofErr w:type="gramStart"/>
          <w:r w:rsidR="00CE79EC" w:rsidRPr="00CE79EC">
            <w:rPr>
              <w:rFonts w:cs="Times New Roman" w:hint="eastAsia"/>
            </w:rPr>
            <w:t>科创板</w:t>
          </w:r>
          <w:proofErr w:type="gramEnd"/>
          <w:r w:rsidR="00CE79EC" w:rsidRPr="00CE79EC">
            <w:rPr>
              <w:rFonts w:cs="Times New Roman" w:hint="eastAsia"/>
            </w:rPr>
            <w:t>上市公司中</w:t>
          </w:r>
          <w:r w:rsidR="006F1AF5">
            <w:rPr>
              <w:rFonts w:cs="Times New Roman" w:hint="eastAsia"/>
            </w:rPr>
            <w:t>选取</w:t>
          </w:r>
          <w:r w:rsidR="00D47AB1">
            <w:rPr>
              <w:rFonts w:cs="Times New Roman" w:hint="eastAsia"/>
            </w:rPr>
            <w:t>营业收入与净利润</w:t>
          </w:r>
          <w:r w:rsidR="00FC439C">
            <w:rPr>
              <w:rFonts w:cs="Times New Roman" w:hint="eastAsia"/>
            </w:rPr>
            <w:t>等业绩指</w:t>
          </w:r>
          <w:bookmarkStart w:id="0" w:name="_GoBack"/>
          <w:bookmarkEnd w:id="0"/>
          <w:r w:rsidR="00FC439C">
            <w:rPr>
              <w:rFonts w:cs="Times New Roman" w:hint="eastAsia"/>
            </w:rPr>
            <w:t>标</w:t>
          </w:r>
          <w:r w:rsidR="006F1AF5">
            <w:rPr>
              <w:rFonts w:cs="Times New Roman" w:hint="eastAsia"/>
            </w:rPr>
            <w:t>增长率较高</w:t>
          </w:r>
          <w:r w:rsidR="00CE79EC" w:rsidRPr="00CE79EC">
            <w:rPr>
              <w:rFonts w:cs="Times New Roman" w:hint="eastAsia"/>
            </w:rPr>
            <w:t>的</w:t>
          </w:r>
          <w:r w:rsidR="00CE79EC" w:rsidRPr="00CE79EC">
            <w:rPr>
              <w:rFonts w:cs="Times New Roman" w:hint="eastAsia"/>
            </w:rPr>
            <w:t>50</w:t>
          </w:r>
          <w:r w:rsidR="00CE79EC" w:rsidRPr="00CE79EC">
            <w:rPr>
              <w:rFonts w:cs="Times New Roman" w:hint="eastAsia"/>
            </w:rPr>
            <w:t>只上市公司证券作为指数样本，</w:t>
          </w:r>
          <w:proofErr w:type="gramStart"/>
          <w:r w:rsidR="00CE79EC" w:rsidRPr="00CE79EC">
            <w:rPr>
              <w:rFonts w:cs="Times New Roman" w:hint="eastAsia"/>
            </w:rPr>
            <w:t>反映科创板</w:t>
          </w:r>
          <w:proofErr w:type="gramEnd"/>
          <w:r w:rsidR="00CE79EC" w:rsidRPr="00CE79EC">
            <w:rPr>
              <w:rFonts w:cs="Times New Roman" w:hint="eastAsia"/>
            </w:rPr>
            <w:t>具有高成长特征的上市公司证券的整体表现</w:t>
          </w:r>
          <w:r w:rsidR="00EF4F65" w:rsidRPr="00EF4F65">
            <w:rPr>
              <w:rFonts w:cs="Times New Roman" w:hint="eastAsia"/>
            </w:rPr>
            <w:t>。</w:t>
          </w:r>
        </w:sdtContent>
      </w:sdt>
    </w:p>
    <w:p w14:paraId="10DF6DB3" w14:textId="77777777" w:rsidR="00EF4F65" w:rsidRPr="00EF4F65" w:rsidRDefault="00EF4F65" w:rsidP="00EF4F65">
      <w:pPr>
        <w:keepNext/>
        <w:keepLines/>
        <w:snapToGrid w:val="0"/>
        <w:spacing w:beforeLines="150" w:before="360" w:after="240"/>
        <w:ind w:firstLine="482"/>
        <w:outlineLvl w:val="1"/>
        <w:rPr>
          <w:rFonts w:cs="Times New Roman"/>
          <w:b/>
          <w:bCs/>
          <w:szCs w:val="32"/>
        </w:rPr>
      </w:pPr>
      <w:bookmarkStart w:id="1" w:name="_Toc49354427"/>
      <w:bookmarkStart w:id="2" w:name="_Toc58916268"/>
      <w:bookmarkStart w:id="3" w:name="_Toc58921205"/>
      <w:bookmarkStart w:id="4" w:name="_Toc59806740"/>
      <w:r w:rsidRPr="00EF4F65">
        <w:rPr>
          <w:rFonts w:cs="Times New Roman"/>
          <w:b/>
          <w:bCs/>
          <w:szCs w:val="32"/>
        </w:rPr>
        <w:t>一、指数名称和代码</w:t>
      </w:r>
      <w:bookmarkEnd w:id="1"/>
      <w:bookmarkEnd w:id="2"/>
      <w:bookmarkEnd w:id="3"/>
      <w:bookmarkEnd w:id="4"/>
    </w:p>
    <w:p w14:paraId="66802C64" w14:textId="459AB2FB" w:rsidR="00EF4F65" w:rsidRPr="00EF4F65" w:rsidRDefault="00EF4F65" w:rsidP="00EF4F65">
      <w:pPr>
        <w:keepNext/>
        <w:keepLines/>
        <w:spacing w:beforeLines="50" w:before="120" w:afterLines="50" w:after="120" w:line="300" w:lineRule="auto"/>
        <w:ind w:firstLine="480"/>
        <w:outlineLvl w:val="3"/>
        <w:rPr>
          <w:rFonts w:cs="Times New Roman"/>
          <w:bCs/>
          <w:szCs w:val="28"/>
        </w:rPr>
      </w:pPr>
      <w:r w:rsidRPr="00EF4F65">
        <w:rPr>
          <w:rFonts w:cs="Times New Roman" w:hint="eastAsia"/>
          <w:bCs/>
          <w:szCs w:val="28"/>
        </w:rPr>
        <w:t>指数名称：上证</w:t>
      </w:r>
      <w:proofErr w:type="gramStart"/>
      <w:r w:rsidRPr="00EF4F65">
        <w:rPr>
          <w:rFonts w:cs="Times New Roman" w:hint="eastAsia"/>
          <w:bCs/>
          <w:szCs w:val="28"/>
        </w:rPr>
        <w:t>科创板</w:t>
      </w:r>
      <w:r w:rsidR="00211F9F">
        <w:rPr>
          <w:rFonts w:cs="Times New Roman" w:hint="eastAsia"/>
          <w:bCs/>
          <w:szCs w:val="28"/>
        </w:rPr>
        <w:t>成长</w:t>
      </w:r>
      <w:proofErr w:type="gramEnd"/>
      <w:r w:rsidRPr="00EF4F65">
        <w:rPr>
          <w:rFonts w:cs="Times New Roman" w:hint="eastAsia"/>
          <w:bCs/>
          <w:szCs w:val="28"/>
        </w:rPr>
        <w:t>指数</w:t>
      </w:r>
    </w:p>
    <w:p w14:paraId="5E33D34A" w14:textId="6E78778E" w:rsidR="00EF4F65" w:rsidRPr="00EF4F65" w:rsidRDefault="00EF4F65" w:rsidP="00EF4F65">
      <w:pPr>
        <w:keepNext/>
        <w:keepLines/>
        <w:spacing w:beforeLines="50" w:before="120" w:afterLines="50" w:after="120" w:line="300" w:lineRule="auto"/>
        <w:ind w:firstLine="480"/>
        <w:outlineLvl w:val="3"/>
        <w:rPr>
          <w:rFonts w:cs="Times New Roman"/>
          <w:bCs/>
          <w:szCs w:val="28"/>
        </w:rPr>
      </w:pPr>
      <w:r w:rsidRPr="00EF4F65">
        <w:rPr>
          <w:rFonts w:cs="Times New Roman" w:hint="eastAsia"/>
          <w:bCs/>
          <w:szCs w:val="28"/>
        </w:rPr>
        <w:t>指数简称：</w:t>
      </w:r>
      <w:proofErr w:type="gramStart"/>
      <w:r w:rsidRPr="00EF4F65">
        <w:rPr>
          <w:rFonts w:cs="Times New Roman" w:hint="eastAsia"/>
          <w:bCs/>
          <w:szCs w:val="28"/>
        </w:rPr>
        <w:t>科创</w:t>
      </w:r>
      <w:r w:rsidR="00211F9F">
        <w:rPr>
          <w:rFonts w:cs="Times New Roman" w:hint="eastAsia"/>
          <w:bCs/>
          <w:szCs w:val="28"/>
        </w:rPr>
        <w:t>成长</w:t>
      </w:r>
      <w:proofErr w:type="gramEnd"/>
    </w:p>
    <w:p w14:paraId="053DAB5B" w14:textId="3C67ABB7" w:rsidR="00EF4F65" w:rsidRPr="00EF4F65" w:rsidRDefault="00EF4F65" w:rsidP="00EF4F65">
      <w:pPr>
        <w:keepNext/>
        <w:keepLines/>
        <w:spacing w:beforeLines="50" w:before="120" w:afterLines="50" w:after="120" w:line="300" w:lineRule="auto"/>
        <w:ind w:firstLine="480"/>
        <w:outlineLvl w:val="3"/>
        <w:rPr>
          <w:rFonts w:cs="Times New Roman"/>
          <w:bCs/>
          <w:szCs w:val="28"/>
        </w:rPr>
      </w:pPr>
      <w:r w:rsidRPr="00EF4F65">
        <w:rPr>
          <w:rFonts w:cs="Times New Roman" w:hint="eastAsia"/>
          <w:bCs/>
          <w:szCs w:val="28"/>
        </w:rPr>
        <w:t>英文名称：</w:t>
      </w:r>
      <w:r>
        <w:rPr>
          <w:rFonts w:cs="Times New Roman" w:hint="eastAsia"/>
          <w:bCs/>
          <w:szCs w:val="28"/>
        </w:rPr>
        <w:t>SSE</w:t>
      </w:r>
      <w:r w:rsidRPr="00EF4F65">
        <w:rPr>
          <w:rFonts w:cs="Times New Roman"/>
          <w:bCs/>
          <w:szCs w:val="28"/>
        </w:rPr>
        <w:t xml:space="preserve"> STAR </w:t>
      </w:r>
      <w:r w:rsidR="00211F9F">
        <w:rPr>
          <w:rFonts w:cs="Times New Roman" w:hint="eastAsia"/>
          <w:bCs/>
          <w:szCs w:val="28"/>
        </w:rPr>
        <w:t>Growth</w:t>
      </w:r>
      <w:r w:rsidRPr="00EF4F65">
        <w:rPr>
          <w:rFonts w:cs="Times New Roman"/>
          <w:bCs/>
          <w:szCs w:val="28"/>
        </w:rPr>
        <w:t xml:space="preserve"> Index</w:t>
      </w:r>
    </w:p>
    <w:p w14:paraId="29E383FF" w14:textId="789E7FE3" w:rsidR="00EF4F65" w:rsidRPr="00EF4F65" w:rsidRDefault="00EF4F65" w:rsidP="00EF4F65">
      <w:pPr>
        <w:keepNext/>
        <w:keepLines/>
        <w:spacing w:beforeLines="50" w:before="120" w:afterLines="50" w:after="120" w:line="300" w:lineRule="auto"/>
        <w:ind w:firstLine="480"/>
        <w:outlineLvl w:val="3"/>
        <w:rPr>
          <w:rFonts w:cs="Times New Roman"/>
          <w:bCs/>
          <w:szCs w:val="28"/>
        </w:rPr>
      </w:pPr>
      <w:r w:rsidRPr="00EF4F65">
        <w:rPr>
          <w:rFonts w:cs="Times New Roman" w:hint="eastAsia"/>
          <w:bCs/>
          <w:szCs w:val="28"/>
        </w:rPr>
        <w:t>英文简称：</w:t>
      </w:r>
      <w:r w:rsidRPr="00EF4F65">
        <w:rPr>
          <w:rFonts w:cs="Times New Roman"/>
          <w:bCs/>
          <w:szCs w:val="28"/>
        </w:rPr>
        <w:t xml:space="preserve">STAR </w:t>
      </w:r>
      <w:r w:rsidR="00211F9F">
        <w:rPr>
          <w:rFonts w:cs="Times New Roman" w:hint="eastAsia"/>
          <w:bCs/>
          <w:szCs w:val="28"/>
        </w:rPr>
        <w:t>Growth</w:t>
      </w:r>
      <w:r w:rsidRPr="00EF4F65">
        <w:rPr>
          <w:rFonts w:cs="Times New Roman" w:hint="eastAsia"/>
          <w:bCs/>
          <w:szCs w:val="28"/>
        </w:rPr>
        <w:t xml:space="preserve"> Index</w:t>
      </w:r>
    </w:p>
    <w:p w14:paraId="184BA17C" w14:textId="6D7E273C" w:rsidR="00EF4F65" w:rsidRPr="00EF4F65" w:rsidRDefault="00EF4F65" w:rsidP="00EF4F65">
      <w:pPr>
        <w:keepNext/>
        <w:keepLines/>
        <w:spacing w:beforeLines="50" w:before="120" w:afterLines="50" w:after="120" w:line="300" w:lineRule="auto"/>
        <w:ind w:firstLine="480"/>
        <w:outlineLvl w:val="3"/>
        <w:rPr>
          <w:rFonts w:cs="Times New Roman"/>
          <w:bCs/>
          <w:szCs w:val="28"/>
        </w:rPr>
      </w:pPr>
      <w:r w:rsidRPr="00EF4F65">
        <w:rPr>
          <w:rFonts w:cs="Times New Roman" w:hint="eastAsia"/>
          <w:bCs/>
          <w:szCs w:val="28"/>
        </w:rPr>
        <w:t>指数代码：</w:t>
      </w:r>
      <w:r w:rsidR="00211F9F">
        <w:rPr>
          <w:rFonts w:cs="Times New Roman"/>
          <w:bCs/>
          <w:color w:val="000000"/>
          <w:szCs w:val="28"/>
        </w:rPr>
        <w:t>000</w:t>
      </w:r>
      <w:r w:rsidR="00840444">
        <w:rPr>
          <w:rFonts w:cs="Times New Roman"/>
          <w:bCs/>
          <w:color w:val="000000"/>
          <w:szCs w:val="28"/>
        </w:rPr>
        <w:t>690</w:t>
      </w:r>
    </w:p>
    <w:p w14:paraId="287ECF57" w14:textId="77777777" w:rsidR="00EF4F65" w:rsidRPr="00EF4F65" w:rsidRDefault="00EF4F65" w:rsidP="00EF4F65">
      <w:pPr>
        <w:keepNext/>
        <w:keepLines/>
        <w:snapToGrid w:val="0"/>
        <w:spacing w:beforeLines="150" w:before="360" w:after="240"/>
        <w:ind w:firstLine="482"/>
        <w:outlineLvl w:val="1"/>
        <w:rPr>
          <w:rFonts w:cs="Times New Roman"/>
          <w:b/>
          <w:bCs/>
          <w:szCs w:val="32"/>
        </w:rPr>
      </w:pPr>
      <w:bookmarkStart w:id="5" w:name="_Toc49354428"/>
      <w:bookmarkStart w:id="6" w:name="_Toc58916269"/>
      <w:bookmarkStart w:id="7" w:name="_Toc58921206"/>
      <w:bookmarkStart w:id="8" w:name="_Toc59806741"/>
      <w:r w:rsidRPr="00EF4F65">
        <w:rPr>
          <w:rFonts w:cs="Times New Roman"/>
          <w:b/>
          <w:bCs/>
          <w:szCs w:val="32"/>
        </w:rPr>
        <w:t>二、指数基日和基点</w:t>
      </w:r>
      <w:bookmarkEnd w:id="5"/>
      <w:bookmarkEnd w:id="6"/>
      <w:bookmarkEnd w:id="7"/>
      <w:bookmarkEnd w:id="8"/>
    </w:p>
    <w:p w14:paraId="23E50669" w14:textId="77777777" w:rsidR="00EF4F65" w:rsidRPr="00EF4F65" w:rsidRDefault="00EF4F65" w:rsidP="00EF4F65">
      <w:pPr>
        <w:snapToGrid w:val="0"/>
        <w:spacing w:before="240" w:after="240"/>
        <w:ind w:firstLine="480"/>
        <w:rPr>
          <w:rFonts w:cs="Times New Roman"/>
          <w:kern w:val="0"/>
        </w:rPr>
      </w:pPr>
      <w:r w:rsidRPr="00EF4F65">
        <w:rPr>
          <w:rFonts w:cs="Times New Roman"/>
        </w:rPr>
        <w:t>该指数</w:t>
      </w:r>
      <w:r w:rsidRPr="00EF4F65">
        <w:rPr>
          <w:rFonts w:cs="Times New Roman" w:hint="eastAsia"/>
        </w:rPr>
        <w:t>以</w:t>
      </w:r>
      <w:sdt>
        <w:sdtPr>
          <w:rPr>
            <w:rFonts w:cs="Times New Roman" w:hint="eastAsia"/>
          </w:rPr>
          <w:id w:val="646712304"/>
          <w:placeholder>
            <w:docPart w:val="9B296005352F409A9353649DDD1E5647"/>
          </w:placeholder>
        </w:sdtPr>
        <w:sdtEndPr/>
        <w:sdtContent>
          <w:r w:rsidRPr="00EF4F65">
            <w:rPr>
              <w:rFonts w:cs="Times New Roman"/>
            </w:rPr>
            <w:t>2019</w:t>
          </w:r>
        </w:sdtContent>
      </w:sdt>
      <w:r w:rsidRPr="00EF4F65">
        <w:rPr>
          <w:rFonts w:cs="Times New Roman"/>
        </w:rPr>
        <w:t>年</w:t>
      </w:r>
      <w:sdt>
        <w:sdtPr>
          <w:rPr>
            <w:rFonts w:cs="Times New Roman"/>
          </w:rPr>
          <w:id w:val="-423187784"/>
          <w:placeholder>
            <w:docPart w:val="9B296005352F409A9353649DDD1E5647"/>
          </w:placeholder>
        </w:sdtPr>
        <w:sdtEndPr/>
        <w:sdtContent>
          <w:r w:rsidRPr="00EF4F65">
            <w:rPr>
              <w:rFonts w:cs="Times New Roman"/>
            </w:rPr>
            <w:t>12</w:t>
          </w:r>
        </w:sdtContent>
      </w:sdt>
      <w:r w:rsidRPr="00EF4F65">
        <w:rPr>
          <w:rFonts w:cs="Times New Roman"/>
        </w:rPr>
        <w:t>月</w:t>
      </w:r>
      <w:sdt>
        <w:sdtPr>
          <w:rPr>
            <w:rFonts w:cs="Times New Roman"/>
          </w:rPr>
          <w:id w:val="-301001815"/>
          <w:placeholder>
            <w:docPart w:val="9B296005352F409A9353649DDD1E5647"/>
          </w:placeholder>
        </w:sdtPr>
        <w:sdtEndPr/>
        <w:sdtContent>
          <w:r w:rsidRPr="00EF4F65">
            <w:rPr>
              <w:rFonts w:cs="Times New Roman"/>
            </w:rPr>
            <w:t>31</w:t>
          </w:r>
        </w:sdtContent>
      </w:sdt>
      <w:r w:rsidRPr="00EF4F65">
        <w:rPr>
          <w:rFonts w:cs="Times New Roman"/>
        </w:rPr>
        <w:t>日为基日，</w:t>
      </w:r>
      <w:r w:rsidRPr="00EF4F65">
        <w:rPr>
          <w:rFonts w:cs="Times New Roman"/>
          <w:kern w:val="0"/>
        </w:rPr>
        <w:t>以</w:t>
      </w:r>
      <w:sdt>
        <w:sdtPr>
          <w:rPr>
            <w:rFonts w:cs="Times New Roman" w:hint="eastAsia"/>
            <w:kern w:val="0"/>
          </w:rPr>
          <w:id w:val="48896800"/>
          <w:placeholder>
            <w:docPart w:val="9B296005352F409A9353649DDD1E5647"/>
          </w:placeholder>
        </w:sdtPr>
        <w:sdtEndPr/>
        <w:sdtContent>
          <w:r w:rsidRPr="00EF4F65">
            <w:rPr>
              <w:rFonts w:cs="Times New Roman"/>
              <w:kern w:val="0"/>
            </w:rPr>
            <w:t>1000</w:t>
          </w:r>
        </w:sdtContent>
      </w:sdt>
      <w:r w:rsidRPr="00EF4F65">
        <w:rPr>
          <w:rFonts w:cs="Times New Roman"/>
          <w:kern w:val="0"/>
        </w:rPr>
        <w:t>点为基点。</w:t>
      </w:r>
    </w:p>
    <w:p w14:paraId="2433C0C3" w14:textId="77777777" w:rsidR="00EF4F65" w:rsidRPr="00EF4F65" w:rsidRDefault="00EF4F65" w:rsidP="00EF4F65">
      <w:pPr>
        <w:keepNext/>
        <w:keepLines/>
        <w:snapToGrid w:val="0"/>
        <w:spacing w:beforeLines="150" w:before="360" w:after="240"/>
        <w:ind w:firstLine="482"/>
        <w:outlineLvl w:val="1"/>
        <w:rPr>
          <w:rFonts w:cs="Times New Roman"/>
          <w:b/>
          <w:bCs/>
          <w:szCs w:val="32"/>
        </w:rPr>
      </w:pPr>
      <w:bookmarkStart w:id="9" w:name="_Toc49354429"/>
      <w:bookmarkStart w:id="10" w:name="_Toc58916270"/>
      <w:bookmarkStart w:id="11" w:name="_Toc58921207"/>
      <w:bookmarkStart w:id="12" w:name="_Toc59806742"/>
      <w:r w:rsidRPr="00EF4F65">
        <w:rPr>
          <w:rFonts w:cs="Times New Roman"/>
          <w:b/>
          <w:bCs/>
          <w:szCs w:val="32"/>
        </w:rPr>
        <w:t>三、样本选取方法</w:t>
      </w:r>
      <w:bookmarkEnd w:id="9"/>
      <w:bookmarkEnd w:id="10"/>
      <w:bookmarkEnd w:id="11"/>
      <w:bookmarkEnd w:id="12"/>
    </w:p>
    <w:p w14:paraId="7076D1C7" w14:textId="77777777" w:rsidR="00EF4F65" w:rsidRPr="00EF4F65" w:rsidRDefault="00EF4F65" w:rsidP="00EF4F65">
      <w:pPr>
        <w:keepNext/>
        <w:keepLines/>
        <w:snapToGrid w:val="0"/>
        <w:spacing w:before="240" w:after="240"/>
        <w:ind w:firstLine="482"/>
        <w:outlineLvl w:val="2"/>
        <w:rPr>
          <w:rFonts w:cs="Times New Roman"/>
          <w:b/>
          <w:bCs/>
          <w:szCs w:val="32"/>
        </w:rPr>
      </w:pPr>
      <w:bookmarkStart w:id="13" w:name="_Toc49354430"/>
      <w:bookmarkStart w:id="14" w:name="_Toc58916271"/>
      <w:bookmarkStart w:id="15" w:name="_Toc58921208"/>
      <w:bookmarkStart w:id="16" w:name="_Toc59806743"/>
      <w:r w:rsidRPr="00EF4F65">
        <w:rPr>
          <w:rFonts w:cs="Times New Roman"/>
          <w:b/>
          <w:bCs/>
          <w:szCs w:val="32"/>
        </w:rPr>
        <w:t>1</w:t>
      </w:r>
      <w:r w:rsidRPr="00EF4F65">
        <w:rPr>
          <w:rFonts w:cs="Times New Roman"/>
          <w:b/>
          <w:bCs/>
          <w:szCs w:val="32"/>
        </w:rPr>
        <w:t>、样本空间</w:t>
      </w:r>
      <w:bookmarkEnd w:id="13"/>
      <w:bookmarkEnd w:id="14"/>
      <w:bookmarkEnd w:id="15"/>
      <w:bookmarkEnd w:id="16"/>
    </w:p>
    <w:p w14:paraId="195AB070" w14:textId="77777777" w:rsidR="00EF4F65" w:rsidRPr="00EF4F65" w:rsidRDefault="00EF4F65" w:rsidP="00EF4F65">
      <w:pPr>
        <w:spacing w:before="240" w:after="240"/>
        <w:ind w:firstLine="480"/>
        <w:rPr>
          <w:rFonts w:cs="Times New Roman"/>
        </w:rPr>
      </w:pPr>
      <w:bookmarkStart w:id="17" w:name="_Hlk34732217"/>
      <w:bookmarkStart w:id="18" w:name="_Toc49354431"/>
      <w:bookmarkStart w:id="19" w:name="_Toc58916272"/>
      <w:bookmarkStart w:id="20" w:name="_Toc58921209"/>
      <w:bookmarkStart w:id="21" w:name="_Toc59806744"/>
      <w:bookmarkEnd w:id="17"/>
      <w:r w:rsidRPr="00EF4F65">
        <w:rPr>
          <w:rFonts w:cs="Times New Roman" w:hint="eastAsia"/>
        </w:rPr>
        <w:t>指数样本空间由满足以下条件的</w:t>
      </w:r>
      <w:proofErr w:type="gramStart"/>
      <w:r w:rsidRPr="00EF4F65">
        <w:rPr>
          <w:rFonts w:cs="Times New Roman" w:hint="eastAsia"/>
        </w:rPr>
        <w:t>科创板</w:t>
      </w:r>
      <w:proofErr w:type="gramEnd"/>
      <w:r w:rsidRPr="00EF4F65">
        <w:rPr>
          <w:rFonts w:cs="Times New Roman" w:hint="eastAsia"/>
        </w:rPr>
        <w:t>上市的股票和红</w:t>
      </w:r>
      <w:proofErr w:type="gramStart"/>
      <w:r w:rsidRPr="00EF4F65">
        <w:rPr>
          <w:rFonts w:cs="Times New Roman" w:hint="eastAsia"/>
        </w:rPr>
        <w:t>筹企业</w:t>
      </w:r>
      <w:proofErr w:type="gramEnd"/>
      <w:r w:rsidRPr="00EF4F65">
        <w:rPr>
          <w:rFonts w:cs="Times New Roman" w:hint="eastAsia"/>
        </w:rPr>
        <w:t>发行的存托凭证组成：</w:t>
      </w:r>
    </w:p>
    <w:p w14:paraId="472F76F4" w14:textId="77777777" w:rsidR="00EF4F65" w:rsidRPr="00EF4F65" w:rsidRDefault="00EF4F65" w:rsidP="00EF4F65">
      <w:pPr>
        <w:spacing w:before="240" w:after="240"/>
        <w:ind w:firstLine="480"/>
        <w:rPr>
          <w:rFonts w:cs="Times New Roman"/>
        </w:rPr>
      </w:pPr>
      <w:r w:rsidRPr="00EF4F65">
        <w:rPr>
          <w:rFonts w:cs="Times New Roman" w:hint="eastAsia"/>
        </w:rPr>
        <w:t>（</w:t>
      </w:r>
      <w:r w:rsidRPr="00EF4F65">
        <w:rPr>
          <w:rFonts w:cs="Times New Roman"/>
        </w:rPr>
        <w:t>1</w:t>
      </w:r>
      <w:r w:rsidRPr="00EF4F65">
        <w:rPr>
          <w:rFonts w:cs="Times New Roman" w:hint="eastAsia"/>
        </w:rPr>
        <w:t>）上市时间超过</w:t>
      </w:r>
      <w:r w:rsidRPr="00EF4F65">
        <w:rPr>
          <w:rFonts w:cs="Times New Roman" w:hint="eastAsia"/>
        </w:rPr>
        <w:t>6</w:t>
      </w:r>
      <w:r w:rsidRPr="00EF4F65">
        <w:rPr>
          <w:rFonts w:cs="Times New Roman" w:hint="eastAsia"/>
        </w:rPr>
        <w:t>个月，</w:t>
      </w:r>
      <w:r w:rsidRPr="00EF4F65">
        <w:rPr>
          <w:rFonts w:cs="Times New Roman"/>
        </w:rPr>
        <w:t>除非</w:t>
      </w:r>
      <w:r w:rsidRPr="00EF4F65">
        <w:rPr>
          <w:rFonts w:cs="Times New Roman" w:hint="eastAsia"/>
        </w:rPr>
        <w:t>上市以来</w:t>
      </w:r>
      <w:proofErr w:type="gramStart"/>
      <w:r w:rsidRPr="00EF4F65">
        <w:rPr>
          <w:rFonts w:cs="Times New Roman" w:hint="eastAsia"/>
        </w:rPr>
        <w:t>日均总</w:t>
      </w:r>
      <w:proofErr w:type="gramEnd"/>
      <w:r w:rsidRPr="00EF4F65">
        <w:rPr>
          <w:rFonts w:cs="Times New Roman" w:hint="eastAsia"/>
        </w:rPr>
        <w:t>市值排名在</w:t>
      </w:r>
      <w:proofErr w:type="gramStart"/>
      <w:r w:rsidRPr="00EF4F65">
        <w:rPr>
          <w:rFonts w:cs="Times New Roman" w:hint="eastAsia"/>
        </w:rPr>
        <w:t>科创板</w:t>
      </w:r>
      <w:proofErr w:type="gramEnd"/>
      <w:r w:rsidRPr="00EF4F65">
        <w:rPr>
          <w:rFonts w:cs="Times New Roman" w:hint="eastAsia"/>
        </w:rPr>
        <w:t>市场前</w:t>
      </w:r>
      <w:r w:rsidRPr="00EF4F65">
        <w:rPr>
          <w:rFonts w:cs="Times New Roman" w:hint="eastAsia"/>
        </w:rPr>
        <w:t>5</w:t>
      </w:r>
      <w:r w:rsidRPr="00EF4F65">
        <w:rPr>
          <w:rFonts w:cs="Times New Roman" w:hint="eastAsia"/>
        </w:rPr>
        <w:t>位且上市时间超过</w:t>
      </w:r>
      <w:r w:rsidRPr="00EF4F65">
        <w:rPr>
          <w:rFonts w:cs="Times New Roman" w:hint="eastAsia"/>
        </w:rPr>
        <w:t>3</w:t>
      </w:r>
      <w:r w:rsidRPr="00EF4F65">
        <w:rPr>
          <w:rFonts w:cs="Times New Roman" w:hint="eastAsia"/>
        </w:rPr>
        <w:t>个月；</w:t>
      </w:r>
    </w:p>
    <w:p w14:paraId="02F34650" w14:textId="68015480" w:rsidR="00EF4F65" w:rsidRDefault="00EF4F65" w:rsidP="00EF4F65">
      <w:pPr>
        <w:spacing w:before="240" w:after="240"/>
        <w:ind w:firstLine="480"/>
        <w:rPr>
          <w:rFonts w:cs="Times New Roman"/>
        </w:rPr>
      </w:pPr>
      <w:r w:rsidRPr="00EF4F65">
        <w:rPr>
          <w:rFonts w:cs="Times New Roman" w:hint="eastAsia"/>
        </w:rPr>
        <w:t>（</w:t>
      </w:r>
      <w:r w:rsidRPr="00EF4F65">
        <w:rPr>
          <w:rFonts w:cs="Times New Roman"/>
        </w:rPr>
        <w:t>2</w:t>
      </w:r>
      <w:r w:rsidRPr="00EF4F65">
        <w:rPr>
          <w:rFonts w:cs="Times New Roman" w:hint="eastAsia"/>
        </w:rPr>
        <w:t>）非退</w:t>
      </w:r>
      <w:proofErr w:type="gramStart"/>
      <w:r w:rsidRPr="00EF4F65">
        <w:rPr>
          <w:rFonts w:cs="Times New Roman" w:hint="eastAsia"/>
        </w:rPr>
        <w:t>市风险</w:t>
      </w:r>
      <w:proofErr w:type="gramEnd"/>
      <w:r w:rsidRPr="00EF4F65">
        <w:rPr>
          <w:rFonts w:cs="Times New Roman" w:hint="eastAsia"/>
        </w:rPr>
        <w:t>警示证券。</w:t>
      </w:r>
    </w:p>
    <w:p w14:paraId="091DDEB6" w14:textId="77777777" w:rsidR="007701E7" w:rsidRPr="00534A1B" w:rsidRDefault="007701E7" w:rsidP="007701E7">
      <w:pPr>
        <w:pStyle w:val="3"/>
        <w:snapToGrid w:val="0"/>
        <w:spacing w:before="240" w:after="240"/>
        <w:ind w:firstLine="482"/>
        <w:rPr>
          <w:rFonts w:cs="Times New Roman"/>
        </w:rPr>
      </w:pPr>
      <w:r w:rsidRPr="00534A1B">
        <w:rPr>
          <w:rFonts w:cs="Times New Roman"/>
        </w:rPr>
        <w:lastRenderedPageBreak/>
        <w:t>2</w:t>
      </w:r>
      <w:r w:rsidRPr="00534A1B">
        <w:rPr>
          <w:rFonts w:cs="Times New Roman"/>
        </w:rPr>
        <w:t>、</w:t>
      </w:r>
      <w:r w:rsidRPr="00534A1B">
        <w:rPr>
          <w:rFonts w:cs="Times New Roman" w:hint="eastAsia"/>
        </w:rPr>
        <w:t>可投资性</w:t>
      </w:r>
      <w:r w:rsidRPr="00534A1B">
        <w:rPr>
          <w:rFonts w:cs="Times New Roman"/>
        </w:rPr>
        <w:t>筛选</w:t>
      </w:r>
    </w:p>
    <w:p w14:paraId="16139A94" w14:textId="471DE9D8" w:rsidR="007701E7" w:rsidRPr="007701E7" w:rsidRDefault="007701E7" w:rsidP="007701E7">
      <w:pPr>
        <w:spacing w:before="240" w:after="240"/>
        <w:ind w:firstLine="480"/>
      </w:pPr>
      <w:r w:rsidRPr="00534A1B">
        <w:rPr>
          <w:rFonts w:hint="eastAsia"/>
        </w:rPr>
        <w:t>过去一年日均成交金额排名</w:t>
      </w:r>
      <w:r w:rsidRPr="00534A1B">
        <w:t>位于</w:t>
      </w:r>
      <w:r w:rsidRPr="00534A1B">
        <w:rPr>
          <w:rFonts w:hint="eastAsia"/>
        </w:rPr>
        <w:t>样本</w:t>
      </w:r>
      <w:r w:rsidRPr="00534A1B">
        <w:t>空间</w:t>
      </w:r>
      <w:r w:rsidRPr="00534A1B">
        <w:rPr>
          <w:rFonts w:hint="eastAsia"/>
        </w:rPr>
        <w:t>前</w:t>
      </w:r>
      <w:r w:rsidRPr="00534A1B">
        <w:t>9</w:t>
      </w:r>
      <w:r w:rsidRPr="00534A1B">
        <w:rPr>
          <w:rFonts w:hint="eastAsia"/>
        </w:rPr>
        <w:t>0%</w:t>
      </w:r>
      <w:r>
        <w:rPr>
          <w:rFonts w:hint="eastAsia"/>
        </w:rPr>
        <w:t>。</w:t>
      </w:r>
    </w:p>
    <w:p w14:paraId="49DD0C1B" w14:textId="714EA8C7" w:rsidR="00EF4F65" w:rsidRPr="00EF4F65" w:rsidRDefault="007701E7" w:rsidP="00EF4F65">
      <w:pPr>
        <w:keepNext/>
        <w:keepLines/>
        <w:snapToGrid w:val="0"/>
        <w:spacing w:before="240" w:after="240"/>
        <w:ind w:firstLine="482"/>
        <w:outlineLvl w:val="2"/>
        <w:rPr>
          <w:rFonts w:cs="Times New Roman"/>
          <w:b/>
          <w:bCs/>
          <w:szCs w:val="32"/>
        </w:rPr>
      </w:pPr>
      <w:r>
        <w:rPr>
          <w:rFonts w:cs="Times New Roman"/>
          <w:b/>
          <w:bCs/>
          <w:szCs w:val="32"/>
        </w:rPr>
        <w:t>3</w:t>
      </w:r>
      <w:r w:rsidR="00EF4F65" w:rsidRPr="00EF4F65">
        <w:rPr>
          <w:rFonts w:cs="Times New Roman"/>
          <w:b/>
          <w:bCs/>
          <w:szCs w:val="32"/>
        </w:rPr>
        <w:t>、选样方法</w:t>
      </w:r>
      <w:bookmarkEnd w:id="18"/>
      <w:bookmarkEnd w:id="19"/>
      <w:bookmarkEnd w:id="20"/>
      <w:bookmarkEnd w:id="21"/>
    </w:p>
    <w:p w14:paraId="1749BF21" w14:textId="31202070" w:rsidR="00EF4F65" w:rsidRPr="00EF4F65" w:rsidRDefault="00EF4F65" w:rsidP="00EF4F65">
      <w:pPr>
        <w:spacing w:before="240" w:after="240"/>
        <w:ind w:firstLine="480"/>
        <w:rPr>
          <w:rFonts w:cs="Times New Roman"/>
        </w:rPr>
      </w:pPr>
      <w:bookmarkStart w:id="22" w:name="_Hlk35511924"/>
      <w:r w:rsidRPr="00EF4F65">
        <w:rPr>
          <w:rFonts w:cs="Times New Roman" w:hint="eastAsia"/>
        </w:rPr>
        <w:t>（</w:t>
      </w:r>
      <w:r w:rsidR="007701E7">
        <w:rPr>
          <w:rFonts w:cs="Times New Roman"/>
        </w:rPr>
        <w:t>1</w:t>
      </w:r>
      <w:r w:rsidRPr="00EF4F65">
        <w:rPr>
          <w:rFonts w:cs="Times New Roman" w:hint="eastAsia"/>
        </w:rPr>
        <w:t>）</w:t>
      </w:r>
      <w:r w:rsidR="00D3075B" w:rsidRPr="00D3075B">
        <w:rPr>
          <w:rFonts w:cs="Times New Roman" w:hint="eastAsia"/>
        </w:rPr>
        <w:t>对于样本空间内符合可投资性筛选条件的证券，</w:t>
      </w:r>
      <w:r w:rsidR="00907E69" w:rsidRPr="00907E69">
        <w:rPr>
          <w:rFonts w:cs="Times New Roman" w:hint="eastAsia"/>
        </w:rPr>
        <w:t>分别计算如下指标：最新季度营收</w:t>
      </w:r>
      <w:r w:rsidR="00907E69" w:rsidRPr="00907E69">
        <w:rPr>
          <w:rFonts w:cs="Times New Roman" w:hint="eastAsia"/>
        </w:rPr>
        <w:t>TTM</w:t>
      </w:r>
      <w:r w:rsidR="00907E69" w:rsidRPr="00907E69">
        <w:rPr>
          <w:rFonts w:cs="Times New Roman" w:hint="eastAsia"/>
        </w:rPr>
        <w:t>环比增长率、最新季度</w:t>
      </w:r>
      <w:proofErr w:type="gramStart"/>
      <w:r w:rsidR="00907E69" w:rsidRPr="00907E69">
        <w:rPr>
          <w:rFonts w:cs="Times New Roman" w:hint="eastAsia"/>
        </w:rPr>
        <w:t>扣非净</w:t>
      </w:r>
      <w:proofErr w:type="gramEnd"/>
      <w:r w:rsidR="00907E69" w:rsidRPr="00907E69">
        <w:rPr>
          <w:rFonts w:cs="Times New Roman" w:hint="eastAsia"/>
        </w:rPr>
        <w:t>利润</w:t>
      </w:r>
      <w:r w:rsidR="00907E69" w:rsidRPr="00907E69">
        <w:rPr>
          <w:rFonts w:cs="Times New Roman" w:hint="eastAsia"/>
        </w:rPr>
        <w:t>TTM</w:t>
      </w:r>
      <w:r w:rsidR="00907E69" w:rsidRPr="00907E69">
        <w:rPr>
          <w:rFonts w:cs="Times New Roman" w:hint="eastAsia"/>
        </w:rPr>
        <w:t>环比增长率、过去</w:t>
      </w:r>
      <w:r w:rsidR="00907E69" w:rsidRPr="00907E69">
        <w:rPr>
          <w:rFonts w:cs="Times New Roman" w:hint="eastAsia"/>
        </w:rPr>
        <w:t>12</w:t>
      </w:r>
      <w:r w:rsidR="00907E69" w:rsidRPr="00907E69">
        <w:rPr>
          <w:rFonts w:cs="Times New Roman" w:hint="eastAsia"/>
        </w:rPr>
        <w:t>个季度营收</w:t>
      </w:r>
      <w:r w:rsidR="00907E69" w:rsidRPr="00907E69">
        <w:rPr>
          <w:rFonts w:cs="Times New Roman" w:hint="eastAsia"/>
        </w:rPr>
        <w:t>TTM</w:t>
      </w:r>
      <w:r w:rsidR="00907E69" w:rsidRPr="00907E69">
        <w:rPr>
          <w:rFonts w:cs="Times New Roman" w:hint="eastAsia"/>
        </w:rPr>
        <w:t>环比增长率平均、过去</w:t>
      </w:r>
      <w:r w:rsidR="00907E69" w:rsidRPr="00907E69">
        <w:rPr>
          <w:rFonts w:cs="Times New Roman" w:hint="eastAsia"/>
        </w:rPr>
        <w:t>12</w:t>
      </w:r>
      <w:r w:rsidR="00907E69" w:rsidRPr="00907E69">
        <w:rPr>
          <w:rFonts w:cs="Times New Roman" w:hint="eastAsia"/>
        </w:rPr>
        <w:t>个季度</w:t>
      </w:r>
      <w:proofErr w:type="gramStart"/>
      <w:r w:rsidR="00907E69" w:rsidRPr="00907E69">
        <w:rPr>
          <w:rFonts w:cs="Times New Roman" w:hint="eastAsia"/>
        </w:rPr>
        <w:t>扣非净</w:t>
      </w:r>
      <w:proofErr w:type="gramEnd"/>
      <w:r w:rsidR="00907E69" w:rsidRPr="00907E69">
        <w:rPr>
          <w:rFonts w:cs="Times New Roman" w:hint="eastAsia"/>
        </w:rPr>
        <w:t>利润</w:t>
      </w:r>
      <w:r w:rsidR="00907E69" w:rsidRPr="00907E69">
        <w:rPr>
          <w:rFonts w:cs="Times New Roman" w:hint="eastAsia"/>
        </w:rPr>
        <w:t>TTM</w:t>
      </w:r>
      <w:r w:rsidR="00907E69" w:rsidRPr="00907E69">
        <w:rPr>
          <w:rFonts w:cs="Times New Roman" w:hint="eastAsia"/>
        </w:rPr>
        <w:t>环比增长率、过去</w:t>
      </w:r>
      <w:r w:rsidR="00907E69" w:rsidRPr="00907E69">
        <w:rPr>
          <w:rFonts w:cs="Times New Roman" w:hint="eastAsia"/>
        </w:rPr>
        <w:t>12</w:t>
      </w:r>
      <w:r w:rsidR="00907E69" w:rsidRPr="00907E69">
        <w:rPr>
          <w:rFonts w:cs="Times New Roman" w:hint="eastAsia"/>
        </w:rPr>
        <w:t>个季度营收</w:t>
      </w:r>
      <w:r w:rsidR="00907E69" w:rsidRPr="00907E69">
        <w:rPr>
          <w:rFonts w:cs="Times New Roman" w:hint="eastAsia"/>
        </w:rPr>
        <w:t>TTM</w:t>
      </w:r>
      <w:r w:rsidR="00907E69" w:rsidRPr="00907E69">
        <w:rPr>
          <w:rFonts w:cs="Times New Roman" w:hint="eastAsia"/>
        </w:rPr>
        <w:t>环比增长率</w:t>
      </w:r>
      <w:r w:rsidR="00A02ECE">
        <w:rPr>
          <w:rFonts w:cs="Times New Roman" w:hint="eastAsia"/>
        </w:rPr>
        <w:t>回归得到</w:t>
      </w:r>
      <w:r w:rsidR="00907E69" w:rsidRPr="00907E69">
        <w:rPr>
          <w:rFonts w:cs="Times New Roman" w:hint="eastAsia"/>
        </w:rPr>
        <w:t>的增长趋势；</w:t>
      </w:r>
    </w:p>
    <w:p w14:paraId="03360AB7" w14:textId="57E823EC" w:rsidR="00EF4F65" w:rsidRPr="00EF4F65" w:rsidRDefault="00EF4F65" w:rsidP="00EF4F65">
      <w:pPr>
        <w:spacing w:before="240" w:after="240"/>
        <w:ind w:firstLine="480"/>
        <w:rPr>
          <w:rFonts w:cs="Times New Roman"/>
          <w:szCs w:val="24"/>
        </w:rPr>
      </w:pPr>
      <w:r w:rsidRPr="00EF4F65">
        <w:rPr>
          <w:rFonts w:cs="Times New Roman" w:hint="eastAsia"/>
        </w:rPr>
        <w:t>（</w:t>
      </w:r>
      <w:r w:rsidR="007701E7">
        <w:rPr>
          <w:rFonts w:cs="Times New Roman"/>
        </w:rPr>
        <w:t>2</w:t>
      </w:r>
      <w:r w:rsidRPr="00EF4F65">
        <w:rPr>
          <w:rFonts w:cs="Times New Roman" w:hint="eastAsia"/>
        </w:rPr>
        <w:t>）</w:t>
      </w:r>
      <w:r w:rsidR="00907E69" w:rsidRPr="00907E69">
        <w:rPr>
          <w:rFonts w:cs="Times New Roman" w:hint="eastAsia"/>
        </w:rPr>
        <w:t>将上述指标经过极值和标准化处理后得分相加作为综合得分，按照综合得分由高到低排名，选取排名前</w:t>
      </w:r>
      <w:r w:rsidR="00907E69" w:rsidRPr="00907E69">
        <w:rPr>
          <w:rFonts w:cs="Times New Roman" w:hint="eastAsia"/>
        </w:rPr>
        <w:t>50</w:t>
      </w:r>
      <w:r w:rsidR="00907E69" w:rsidRPr="00907E69">
        <w:rPr>
          <w:rFonts w:cs="Times New Roman" w:hint="eastAsia"/>
        </w:rPr>
        <w:t>的证券作为指数样本。</w:t>
      </w:r>
    </w:p>
    <w:p w14:paraId="4B45CB06" w14:textId="77777777" w:rsidR="00EF4F65" w:rsidRPr="00EF4F65" w:rsidRDefault="00EF4F65" w:rsidP="00EF4F65">
      <w:pPr>
        <w:keepNext/>
        <w:keepLines/>
        <w:snapToGrid w:val="0"/>
        <w:spacing w:beforeLines="150" w:before="360" w:after="240"/>
        <w:ind w:firstLine="482"/>
        <w:outlineLvl w:val="1"/>
        <w:rPr>
          <w:rFonts w:cs="Times New Roman"/>
          <w:b/>
          <w:bCs/>
          <w:szCs w:val="32"/>
        </w:rPr>
      </w:pPr>
      <w:bookmarkStart w:id="23" w:name="_Toc49354432"/>
      <w:bookmarkStart w:id="24" w:name="_Toc58916273"/>
      <w:bookmarkStart w:id="25" w:name="_Toc58921210"/>
      <w:bookmarkStart w:id="26" w:name="_Toc59806745"/>
      <w:bookmarkEnd w:id="22"/>
      <w:r w:rsidRPr="00EF4F65">
        <w:rPr>
          <w:rFonts w:cs="Times New Roman"/>
          <w:b/>
          <w:bCs/>
          <w:szCs w:val="32"/>
        </w:rPr>
        <w:t>四、指数计算</w:t>
      </w:r>
      <w:bookmarkEnd w:id="23"/>
      <w:bookmarkEnd w:id="24"/>
      <w:bookmarkEnd w:id="25"/>
      <w:bookmarkEnd w:id="26"/>
    </w:p>
    <w:p w14:paraId="4F8A7607" w14:textId="77777777" w:rsidR="00EF4F65" w:rsidRPr="00EF4F65" w:rsidRDefault="00EF4F65" w:rsidP="00EF4F65">
      <w:pPr>
        <w:snapToGrid w:val="0"/>
        <w:spacing w:before="240" w:after="240"/>
        <w:ind w:firstLine="480"/>
        <w:rPr>
          <w:rFonts w:cs="Times New Roman"/>
          <w:bCs/>
          <w:kern w:val="0"/>
        </w:rPr>
      </w:pPr>
      <w:r w:rsidRPr="00EF4F65">
        <w:rPr>
          <w:rFonts w:cs="Times New Roman" w:hint="eastAsia"/>
        </w:rPr>
        <w:t>指数</w:t>
      </w:r>
      <w:r w:rsidRPr="00EF4F65">
        <w:rPr>
          <w:rFonts w:cs="Times New Roman"/>
          <w:bCs/>
          <w:kern w:val="0"/>
        </w:rPr>
        <w:t>计算公式为：</w:t>
      </w:r>
    </w:p>
    <w:p w14:paraId="0DDEDB04" w14:textId="77777777" w:rsidR="00EF4F65" w:rsidRPr="00EF4F65" w:rsidRDefault="00EF4F65" w:rsidP="00EF4F65">
      <w:pPr>
        <w:snapToGrid w:val="0"/>
        <w:spacing w:before="240" w:after="240"/>
        <w:ind w:firstLine="480"/>
        <w:textAlignment w:val="baseline"/>
        <w:rPr>
          <w:rFonts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报告期指数</m:t>
          </m:r>
          <m:r>
            <m:rPr>
              <m:sty m:val="p"/>
            </m:rPr>
            <w:rPr>
              <w:rFonts w:asci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报告期样本的调整市值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除数</m:t>
              </m:r>
            </m:den>
          </m:f>
          <m:r>
            <m:rPr>
              <m:sty m:val="p"/>
            </m:rPr>
            <w:rPr>
              <w:rFonts w:ascii="Cambria Math" w:cs="Times New Roman"/>
            </w:rPr>
            <m:t>×</m:t>
          </m:r>
          <m:r>
            <m:rPr>
              <m:sty m:val="p"/>
            </m:rPr>
            <w:rPr>
              <w:rFonts w:ascii="Cambria Math" w:cs="Times New Roman"/>
            </w:rPr>
            <m:t>1000</m:t>
          </m:r>
        </m:oMath>
      </m:oMathPara>
    </w:p>
    <w:p w14:paraId="3984CE38" w14:textId="77777777" w:rsidR="00EF4F65" w:rsidRPr="00EF4F65" w:rsidRDefault="00EF4F65" w:rsidP="00EF4F65">
      <w:pPr>
        <w:snapToGrid w:val="0"/>
        <w:spacing w:before="240" w:after="240"/>
        <w:ind w:firstLine="480"/>
        <w:rPr>
          <w:rFonts w:cs="Times New Roman"/>
        </w:rPr>
      </w:pPr>
      <w:r w:rsidRPr="00EF4F65">
        <w:rPr>
          <w:rFonts w:cs="Times New Roman"/>
          <w:szCs w:val="24"/>
        </w:rPr>
        <w:t>其中，调整市值＝</w:t>
      </w:r>
      <w:r w:rsidRPr="00EF4F65">
        <w:rPr>
          <w:rFonts w:cs="Times New Roman"/>
          <w:szCs w:val="24"/>
        </w:rPr>
        <w:t>∑(</w:t>
      </w:r>
      <w:r w:rsidRPr="00EF4F65">
        <w:rPr>
          <w:rFonts w:cs="Times New Roman" w:hint="eastAsia"/>
          <w:szCs w:val="24"/>
        </w:rPr>
        <w:t>证券</w:t>
      </w:r>
      <w:r w:rsidRPr="00EF4F65">
        <w:rPr>
          <w:rFonts w:cs="Times New Roman"/>
          <w:szCs w:val="24"/>
        </w:rPr>
        <w:t>价格</w:t>
      </w:r>
      <w:r w:rsidRPr="00EF4F65">
        <w:rPr>
          <w:rFonts w:cs="Times New Roman"/>
          <w:szCs w:val="24"/>
        </w:rPr>
        <w:t>×</w:t>
      </w:r>
      <w:r w:rsidRPr="00EF4F65">
        <w:rPr>
          <w:rFonts w:cs="Times New Roman"/>
          <w:szCs w:val="24"/>
        </w:rPr>
        <w:t>调整股本数</w:t>
      </w:r>
      <w:r w:rsidRPr="00EF4F65">
        <w:rPr>
          <w:rFonts w:cs="Times New Roman"/>
          <w:szCs w:val="24"/>
        </w:rPr>
        <w:t>×</w:t>
      </w:r>
      <w:r w:rsidRPr="00EF4F65">
        <w:rPr>
          <w:rFonts w:cs="Times New Roman"/>
          <w:szCs w:val="24"/>
        </w:rPr>
        <w:t>权重因子</w:t>
      </w:r>
      <w:r w:rsidRPr="00EF4F65">
        <w:rPr>
          <w:rFonts w:cs="Times New Roman"/>
          <w:szCs w:val="24"/>
        </w:rPr>
        <w:t>)</w:t>
      </w:r>
      <w:r w:rsidRPr="00EF4F65">
        <w:rPr>
          <w:rFonts w:cs="Times New Roman" w:hint="eastAsia"/>
          <w:szCs w:val="24"/>
        </w:rPr>
        <w:t>。调整股本数的计算方法、除数修正方法参见计算与维护细则。</w:t>
      </w:r>
      <w:r w:rsidRPr="00EF4F65">
        <w:rPr>
          <w:rFonts w:cs="Times New Roman"/>
        </w:rPr>
        <w:t>权重因子介于</w:t>
      </w:r>
      <w:r w:rsidRPr="00EF4F65">
        <w:rPr>
          <w:rFonts w:cs="Times New Roman"/>
        </w:rPr>
        <w:t>0</w:t>
      </w:r>
      <w:r w:rsidRPr="00EF4F65">
        <w:rPr>
          <w:rFonts w:cs="Times New Roman"/>
        </w:rPr>
        <w:t>和</w:t>
      </w:r>
      <w:r w:rsidRPr="00EF4F65">
        <w:rPr>
          <w:rFonts w:cs="Times New Roman"/>
        </w:rPr>
        <w:t>1</w:t>
      </w:r>
      <w:r w:rsidRPr="00EF4F65">
        <w:rPr>
          <w:rFonts w:cs="Times New Roman"/>
        </w:rPr>
        <w:t>之间，以使单个样本权重不超过</w:t>
      </w:r>
      <w:r w:rsidRPr="00EF4F65">
        <w:rPr>
          <w:rFonts w:cs="Times New Roman" w:hint="eastAsia"/>
        </w:rPr>
        <w:t>10</w:t>
      </w:r>
      <w:r w:rsidRPr="00EF4F65">
        <w:rPr>
          <w:rFonts w:cs="Times New Roman"/>
        </w:rPr>
        <w:t>%</w:t>
      </w:r>
      <w:r w:rsidRPr="00EF4F65">
        <w:rPr>
          <w:rFonts w:cs="Times New Roman" w:hint="eastAsia"/>
        </w:rPr>
        <w:t>。</w:t>
      </w:r>
    </w:p>
    <w:p w14:paraId="36E802CD" w14:textId="77777777" w:rsidR="00EF4F65" w:rsidRPr="00EF4F65" w:rsidRDefault="00EF4F65" w:rsidP="00EF4F65">
      <w:pPr>
        <w:keepNext/>
        <w:keepLines/>
        <w:snapToGrid w:val="0"/>
        <w:spacing w:beforeLines="150" w:before="360" w:after="240"/>
        <w:ind w:firstLine="482"/>
        <w:outlineLvl w:val="1"/>
        <w:rPr>
          <w:rFonts w:cs="Times New Roman"/>
          <w:b/>
          <w:bCs/>
          <w:szCs w:val="32"/>
        </w:rPr>
      </w:pPr>
      <w:bookmarkStart w:id="27" w:name="_Toc49354433"/>
      <w:bookmarkStart w:id="28" w:name="_Toc58916274"/>
      <w:bookmarkStart w:id="29" w:name="_Toc58921211"/>
      <w:bookmarkStart w:id="30" w:name="_Toc59806746"/>
      <w:r w:rsidRPr="00EF4F65">
        <w:rPr>
          <w:rFonts w:cs="Times New Roman"/>
          <w:b/>
          <w:bCs/>
          <w:szCs w:val="32"/>
        </w:rPr>
        <w:t>五、指数样本和权重调整</w:t>
      </w:r>
      <w:bookmarkEnd w:id="27"/>
      <w:bookmarkEnd w:id="28"/>
      <w:bookmarkEnd w:id="29"/>
      <w:bookmarkEnd w:id="30"/>
    </w:p>
    <w:p w14:paraId="7DC03EBF" w14:textId="77777777" w:rsidR="00EF4F65" w:rsidRPr="00EF4F65" w:rsidRDefault="00EF4F65" w:rsidP="00EF4F65">
      <w:pPr>
        <w:keepNext/>
        <w:keepLines/>
        <w:snapToGrid w:val="0"/>
        <w:spacing w:before="240" w:after="240"/>
        <w:ind w:firstLine="482"/>
        <w:outlineLvl w:val="2"/>
        <w:rPr>
          <w:rFonts w:cs="Times New Roman"/>
          <w:b/>
          <w:bCs/>
          <w:szCs w:val="32"/>
        </w:rPr>
      </w:pPr>
      <w:bookmarkStart w:id="31" w:name="_Toc49354434"/>
      <w:bookmarkStart w:id="32" w:name="_Toc58916275"/>
      <w:bookmarkStart w:id="33" w:name="_Toc58921212"/>
      <w:bookmarkStart w:id="34" w:name="_Toc59806747"/>
      <w:r w:rsidRPr="00EF4F65">
        <w:rPr>
          <w:rFonts w:cs="Times New Roman"/>
          <w:b/>
          <w:bCs/>
          <w:szCs w:val="32"/>
        </w:rPr>
        <w:t>1</w:t>
      </w:r>
      <w:r w:rsidRPr="00EF4F65">
        <w:rPr>
          <w:rFonts w:cs="Times New Roman"/>
          <w:b/>
          <w:bCs/>
          <w:szCs w:val="32"/>
        </w:rPr>
        <w:t>、定期调整</w:t>
      </w:r>
      <w:bookmarkEnd w:id="31"/>
      <w:bookmarkEnd w:id="32"/>
      <w:bookmarkEnd w:id="33"/>
      <w:bookmarkEnd w:id="34"/>
    </w:p>
    <w:p w14:paraId="53342224" w14:textId="77777777" w:rsidR="00EF4F65" w:rsidRPr="00EF4F65" w:rsidRDefault="00EF4F65" w:rsidP="00EF4F65">
      <w:pPr>
        <w:snapToGrid w:val="0"/>
        <w:spacing w:before="240" w:after="240"/>
        <w:ind w:firstLine="480"/>
        <w:rPr>
          <w:rFonts w:cs="Times New Roman"/>
        </w:rPr>
      </w:pPr>
      <w:r w:rsidRPr="00EF4F65">
        <w:rPr>
          <w:rFonts w:cs="Times New Roman" w:hint="eastAsia"/>
        </w:rPr>
        <w:t>指数样本</w:t>
      </w:r>
      <w:r w:rsidRPr="00EF4F65">
        <w:rPr>
          <w:rFonts w:cs="Times New Roman"/>
        </w:rPr>
        <w:t>每</w:t>
      </w:r>
      <w:r w:rsidRPr="00EF4F65">
        <w:rPr>
          <w:rFonts w:cs="Times New Roman" w:hint="eastAsia"/>
        </w:rPr>
        <w:t>季度</w:t>
      </w:r>
      <w:r w:rsidRPr="00EF4F65">
        <w:rPr>
          <w:rFonts w:cs="Times New Roman"/>
        </w:rPr>
        <w:t>调整一次，样本调整实施时间分别为</w:t>
      </w:r>
      <w:sdt>
        <w:sdtPr>
          <w:rPr>
            <w:rFonts w:cs="Times New Roman"/>
          </w:rPr>
          <w:id w:val="-1156829785"/>
          <w:placeholder>
            <w:docPart w:val="9B296005352F409A9353649DDD1E5647"/>
          </w:placeholder>
        </w:sdtPr>
        <w:sdtEndPr/>
        <w:sdtContent>
          <w:r w:rsidRPr="00EF4F65">
            <w:rPr>
              <w:rFonts w:cs="Times New Roman"/>
            </w:rPr>
            <w:t>每年</w:t>
          </w:r>
          <w:r w:rsidRPr="00EF4F65">
            <w:rPr>
              <w:rFonts w:cs="Times New Roman" w:hint="eastAsia"/>
            </w:rPr>
            <w:t>3</w:t>
          </w:r>
          <w:r w:rsidRPr="00EF4F65">
            <w:rPr>
              <w:rFonts w:cs="Times New Roman" w:hint="eastAsia"/>
            </w:rPr>
            <w:t>月</w:t>
          </w:r>
          <w:r w:rsidRPr="00EF4F65">
            <w:rPr>
              <w:rFonts w:cs="Times New Roman"/>
            </w:rPr>
            <w:t>、</w:t>
          </w:r>
          <w:r w:rsidRPr="00EF4F65">
            <w:rPr>
              <w:rFonts w:cs="Times New Roman"/>
            </w:rPr>
            <w:t>6</w:t>
          </w:r>
          <w:r w:rsidRPr="00EF4F65">
            <w:rPr>
              <w:rFonts w:cs="Times New Roman"/>
            </w:rPr>
            <w:t>月</w:t>
          </w:r>
          <w:r w:rsidRPr="00EF4F65">
            <w:rPr>
              <w:rFonts w:cs="Times New Roman" w:hint="eastAsia"/>
            </w:rPr>
            <w:t>、</w:t>
          </w:r>
          <w:r w:rsidRPr="00EF4F65">
            <w:rPr>
              <w:rFonts w:cs="Times New Roman" w:hint="eastAsia"/>
            </w:rPr>
            <w:t>9</w:t>
          </w:r>
          <w:r w:rsidRPr="00EF4F65">
            <w:rPr>
              <w:rFonts w:cs="Times New Roman" w:hint="eastAsia"/>
            </w:rPr>
            <w:t>月</w:t>
          </w:r>
          <w:r w:rsidRPr="00EF4F65">
            <w:rPr>
              <w:rFonts w:cs="Times New Roman"/>
            </w:rPr>
            <w:t>和</w:t>
          </w:r>
          <w:r w:rsidRPr="00EF4F65">
            <w:rPr>
              <w:rFonts w:cs="Times New Roman"/>
            </w:rPr>
            <w:t>12</w:t>
          </w:r>
          <w:r w:rsidRPr="00EF4F65">
            <w:rPr>
              <w:rFonts w:cs="Times New Roman"/>
            </w:rPr>
            <w:t>月的第二个星期五的下一交易日。</w:t>
          </w:r>
        </w:sdtContent>
      </w:sdt>
    </w:p>
    <w:p w14:paraId="120EA98E" w14:textId="77777777" w:rsidR="00EF4F65" w:rsidRPr="00EF4F65" w:rsidRDefault="00EF4F65" w:rsidP="00EF4F65">
      <w:pPr>
        <w:spacing w:before="240" w:after="240"/>
        <w:ind w:firstLine="480"/>
        <w:rPr>
          <w:rFonts w:cs="Times New Roman"/>
        </w:rPr>
      </w:pPr>
      <w:r w:rsidRPr="00EF4F65">
        <w:rPr>
          <w:rFonts w:cs="Times New Roman"/>
        </w:rPr>
        <w:t>权重因子随样本定期调整而调整，调整时间与指数样本定期调整实施时间相同。在下一个定期调整日前，权重因子一般固定不变。</w:t>
      </w:r>
    </w:p>
    <w:p w14:paraId="578B6455" w14:textId="77777777" w:rsidR="00EF4F65" w:rsidRPr="00EF4F65" w:rsidRDefault="00EF4F65" w:rsidP="00EF4F65">
      <w:pPr>
        <w:keepNext/>
        <w:keepLines/>
        <w:snapToGrid w:val="0"/>
        <w:spacing w:before="240" w:after="240"/>
        <w:ind w:firstLine="482"/>
        <w:outlineLvl w:val="2"/>
        <w:rPr>
          <w:rFonts w:cs="Times New Roman"/>
          <w:b/>
          <w:bCs/>
          <w:szCs w:val="32"/>
        </w:rPr>
      </w:pPr>
      <w:bookmarkStart w:id="35" w:name="_Toc49354435"/>
      <w:bookmarkStart w:id="36" w:name="_Toc58916276"/>
      <w:bookmarkStart w:id="37" w:name="_Toc58921213"/>
      <w:bookmarkStart w:id="38" w:name="_Toc59806748"/>
      <w:r w:rsidRPr="00EF4F65">
        <w:rPr>
          <w:rFonts w:cs="Times New Roman"/>
          <w:b/>
          <w:bCs/>
          <w:szCs w:val="32"/>
        </w:rPr>
        <w:lastRenderedPageBreak/>
        <w:t>2</w:t>
      </w:r>
      <w:r w:rsidRPr="00EF4F65">
        <w:rPr>
          <w:rFonts w:cs="Times New Roman"/>
          <w:b/>
          <w:bCs/>
          <w:szCs w:val="32"/>
        </w:rPr>
        <w:t>、临时调整</w:t>
      </w:r>
      <w:bookmarkEnd w:id="35"/>
      <w:bookmarkEnd w:id="36"/>
      <w:bookmarkEnd w:id="37"/>
      <w:bookmarkEnd w:id="38"/>
    </w:p>
    <w:p w14:paraId="11A597DE" w14:textId="1994F01E" w:rsidR="00EF4F65" w:rsidRPr="00FB21A7" w:rsidRDefault="00EF4F65" w:rsidP="00210FDF">
      <w:pPr>
        <w:spacing w:before="240" w:after="240"/>
        <w:ind w:firstLine="480"/>
      </w:pPr>
      <w:r w:rsidRPr="00EF4F65">
        <w:t>特殊情况下将对指数进行临时调整。当样本退市时，将其从指数样本中剔除。样本公司发生收购、合并、分拆等情形的处理，参照计算与维护细则处理。</w:t>
      </w:r>
    </w:p>
    <w:sectPr w:rsidR="00EF4F65" w:rsidRPr="00FB21A7" w:rsidSect="00F32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539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6D712" w14:textId="77777777" w:rsidR="00CA4FF8" w:rsidRDefault="00CA4FF8" w:rsidP="00997311">
      <w:pPr>
        <w:spacing w:before="240" w:after="240"/>
        <w:ind w:firstLine="480"/>
      </w:pPr>
      <w:r>
        <w:separator/>
      </w:r>
    </w:p>
  </w:endnote>
  <w:endnote w:type="continuationSeparator" w:id="0">
    <w:p w14:paraId="3F464D5B" w14:textId="77777777" w:rsidR="00CA4FF8" w:rsidRDefault="00CA4FF8" w:rsidP="00997311">
      <w:pPr>
        <w:spacing w:before="240" w:after="24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FD1B1" w14:textId="77777777" w:rsidR="000D274A" w:rsidRDefault="000D274A" w:rsidP="00A375CE">
    <w:pPr>
      <w:pStyle w:val="a6"/>
      <w:spacing w:before="240" w:after="24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4519"/>
      <w:docPartObj>
        <w:docPartGallery w:val="Page Numbers (Bottom of Page)"/>
        <w:docPartUnique/>
      </w:docPartObj>
    </w:sdtPr>
    <w:sdtEndPr/>
    <w:sdtContent>
      <w:p w14:paraId="5B1534EC" w14:textId="6B1F8210" w:rsidR="000D274A" w:rsidRDefault="008D485E" w:rsidP="003035C4">
        <w:pPr>
          <w:pStyle w:val="a6"/>
          <w:spacing w:before="240" w:after="240"/>
          <w:ind w:firstLine="360"/>
          <w:jc w:val="center"/>
        </w:pPr>
        <w:r w:rsidRPr="00E660A2">
          <w:rPr>
            <w:rFonts w:cs="Times New Roman"/>
          </w:rPr>
          <w:fldChar w:fldCharType="begin"/>
        </w:r>
        <w:r w:rsidR="000D274A" w:rsidRPr="00E660A2">
          <w:rPr>
            <w:rFonts w:cs="Times New Roman"/>
          </w:rPr>
          <w:instrText xml:space="preserve"> PAGE   \* MERGEFORMAT </w:instrText>
        </w:r>
        <w:r w:rsidRPr="00E660A2">
          <w:rPr>
            <w:rFonts w:cs="Times New Roman"/>
          </w:rPr>
          <w:fldChar w:fldCharType="separate"/>
        </w:r>
        <w:r w:rsidR="0030355A" w:rsidRPr="0030355A">
          <w:rPr>
            <w:rFonts w:cs="Times New Roman"/>
            <w:noProof/>
            <w:lang w:val="zh-CN"/>
          </w:rPr>
          <w:t>2</w:t>
        </w:r>
        <w:r w:rsidRPr="00E660A2">
          <w:rPr>
            <w:rFonts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5B14" w14:textId="77777777" w:rsidR="000D274A" w:rsidRDefault="000D274A" w:rsidP="00A375CE">
    <w:pPr>
      <w:pStyle w:val="a6"/>
      <w:spacing w:before="240" w:after="24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26228" w14:textId="77777777" w:rsidR="00CA4FF8" w:rsidRDefault="00CA4FF8" w:rsidP="00997311">
      <w:pPr>
        <w:spacing w:before="240" w:after="240"/>
        <w:ind w:firstLine="480"/>
      </w:pPr>
      <w:r>
        <w:separator/>
      </w:r>
    </w:p>
  </w:footnote>
  <w:footnote w:type="continuationSeparator" w:id="0">
    <w:p w14:paraId="36FA465B" w14:textId="77777777" w:rsidR="00CA4FF8" w:rsidRDefault="00CA4FF8" w:rsidP="00997311">
      <w:pPr>
        <w:spacing w:before="240" w:after="24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95F74" w14:textId="77777777" w:rsidR="000D274A" w:rsidRDefault="000D274A" w:rsidP="00A375CE">
    <w:pPr>
      <w:pStyle w:val="a4"/>
      <w:spacing w:before="240" w:after="24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316F" w14:textId="195A025C" w:rsidR="000D274A" w:rsidRPr="008D0DA8" w:rsidRDefault="00014A9B" w:rsidP="00F323F7">
    <w:pPr>
      <w:pStyle w:val="a4"/>
      <w:spacing w:before="240" w:after="240" w:line="240" w:lineRule="auto"/>
      <w:ind w:firstLineChars="0" w:firstLine="0"/>
      <w:jc w:val="left"/>
      <w:rPr>
        <w:rFonts w:cs="Times New Roman"/>
      </w:rPr>
    </w:pPr>
    <w:r w:rsidRPr="009A709B">
      <w:rPr>
        <w:rFonts w:cs="Times New Roman"/>
        <w:noProof/>
      </w:rPr>
      <w:drawing>
        <wp:inline distT="0" distB="0" distL="0" distR="0" wp14:anchorId="1B3E8988" wp14:editId="6876BAB9">
          <wp:extent cx="1518285" cy="274320"/>
          <wp:effectExtent l="0" t="0" r="5715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3F7">
      <w:rPr>
        <w:rFonts w:cs="Times New Roman" w:hint="eastAsia"/>
      </w:rPr>
      <w:t xml:space="preserve">                                     </w:t>
    </w:r>
    <w:r w:rsidR="00211F9F">
      <w:rPr>
        <w:rFonts w:cs="Times New Roman"/>
      </w:rPr>
      <w:t xml:space="preserve">    </w:t>
    </w:r>
    <w:r w:rsidR="00875EF8">
      <w:rPr>
        <w:rFonts w:cs="Times New Roman" w:hint="eastAsia"/>
      </w:rPr>
      <w:t>202</w:t>
    </w:r>
    <w:r w:rsidR="007701E7">
      <w:rPr>
        <w:rFonts w:cs="Times New Roman"/>
      </w:rPr>
      <w:t>2</w:t>
    </w:r>
    <w:r>
      <w:rPr>
        <w:rFonts w:cs="Times New Roman" w:hint="eastAsia"/>
      </w:rPr>
      <w:t>年</w:t>
    </w:r>
    <w:r w:rsidR="00227729">
      <w:rPr>
        <w:rFonts w:cs="Times New Roman"/>
      </w:rPr>
      <w:t>10</w:t>
    </w:r>
    <w:r>
      <w:rPr>
        <w:rFonts w:cs="Times New Roman" w:hint="eastAsia"/>
      </w:rPr>
      <w:t>月</w:t>
    </w:r>
    <w:r>
      <w:rPr>
        <w:rFonts w:cs="Times New Roman" w:hint="eastAsia"/>
      </w:rPr>
      <w:t xml:space="preserve">| </w:t>
    </w:r>
    <w:r>
      <w:rPr>
        <w:rFonts w:cs="Times New Roman" w:hint="eastAsia"/>
      </w:rPr>
      <w:t>版本号</w:t>
    </w:r>
    <w:r>
      <w:rPr>
        <w:rFonts w:cs="Times New Roman" w:hint="eastAsia"/>
      </w:rPr>
      <w:t>V1.</w:t>
    </w:r>
    <w:r>
      <w:rPr>
        <w:rFonts w:cs="Times New Roman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E5532" w14:textId="77777777" w:rsidR="000D274A" w:rsidRPr="00102078" w:rsidRDefault="001066AA" w:rsidP="001066AA">
    <w:pPr>
      <w:pStyle w:val="a4"/>
      <w:spacing w:before="240" w:after="240"/>
      <w:ind w:firstLine="360"/>
      <w:jc w:val="left"/>
    </w:pPr>
    <w:r w:rsidRPr="001066AA">
      <w:rPr>
        <w:noProof/>
      </w:rPr>
      <w:drawing>
        <wp:inline distT="0" distB="0" distL="0" distR="0" wp14:anchorId="6EA77BA0" wp14:editId="2A3E9FE3">
          <wp:extent cx="2057400" cy="276225"/>
          <wp:effectExtent l="0" t="0" r="0" b="0"/>
          <wp:docPr id="36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5C0980"/>
    <w:multiLevelType w:val="hybridMultilevel"/>
    <w:tmpl w:val="9FFE4140"/>
    <w:lvl w:ilvl="0" w:tplc="8898A79A">
      <w:start w:val="1"/>
      <w:numFmt w:val="bullet"/>
      <w:pStyle w:val="a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F5D02BD"/>
    <w:multiLevelType w:val="hybridMultilevel"/>
    <w:tmpl w:val="6636B9C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9D06DBE"/>
    <w:multiLevelType w:val="hybridMultilevel"/>
    <w:tmpl w:val="A6081208"/>
    <w:lvl w:ilvl="0" w:tplc="0409001B">
      <w:start w:val="1"/>
      <w:numFmt w:val="lowerRoman"/>
      <w:lvlText w:val="%1."/>
      <w:lvlJc w:val="righ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1E469C4"/>
    <w:multiLevelType w:val="hybridMultilevel"/>
    <w:tmpl w:val="C2305D9A"/>
    <w:lvl w:ilvl="0" w:tplc="E38624F4">
      <w:start w:val="1"/>
      <w:numFmt w:val="bullet"/>
      <w:lvlText w:val="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5334C03"/>
    <w:multiLevelType w:val="hybridMultilevel"/>
    <w:tmpl w:val="8E667FD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B32569B"/>
    <w:multiLevelType w:val="hybridMultilevel"/>
    <w:tmpl w:val="62F028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FF3D44"/>
    <w:multiLevelType w:val="hybridMultilevel"/>
    <w:tmpl w:val="5796AFEA"/>
    <w:lvl w:ilvl="0" w:tplc="0409001B">
      <w:start w:val="1"/>
      <w:numFmt w:val="lowerRoman"/>
      <w:lvlText w:val="%1."/>
      <w:lvlJc w:val="righ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B1332F0"/>
    <w:multiLevelType w:val="hybridMultilevel"/>
    <w:tmpl w:val="BD8644F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formatting="1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5"/>
    <w:rsid w:val="00000657"/>
    <w:rsid w:val="000010C5"/>
    <w:rsid w:val="00001E99"/>
    <w:rsid w:val="00003D3F"/>
    <w:rsid w:val="000064EC"/>
    <w:rsid w:val="00014A9B"/>
    <w:rsid w:val="0001618E"/>
    <w:rsid w:val="00021A95"/>
    <w:rsid w:val="000226AB"/>
    <w:rsid w:val="0002284E"/>
    <w:rsid w:val="00027F40"/>
    <w:rsid w:val="00031B18"/>
    <w:rsid w:val="0003459E"/>
    <w:rsid w:val="00035A40"/>
    <w:rsid w:val="00037596"/>
    <w:rsid w:val="000400AF"/>
    <w:rsid w:val="00041C99"/>
    <w:rsid w:val="000431B9"/>
    <w:rsid w:val="00043479"/>
    <w:rsid w:val="00045528"/>
    <w:rsid w:val="000459B6"/>
    <w:rsid w:val="000474BA"/>
    <w:rsid w:val="000476BE"/>
    <w:rsid w:val="00050C01"/>
    <w:rsid w:val="0005172A"/>
    <w:rsid w:val="00052280"/>
    <w:rsid w:val="00052C8D"/>
    <w:rsid w:val="00056C45"/>
    <w:rsid w:val="00060522"/>
    <w:rsid w:val="00064921"/>
    <w:rsid w:val="00070C86"/>
    <w:rsid w:val="00076959"/>
    <w:rsid w:val="000771C3"/>
    <w:rsid w:val="000773C5"/>
    <w:rsid w:val="000839F3"/>
    <w:rsid w:val="00087281"/>
    <w:rsid w:val="00090655"/>
    <w:rsid w:val="00091601"/>
    <w:rsid w:val="0009212E"/>
    <w:rsid w:val="00092D8A"/>
    <w:rsid w:val="00093030"/>
    <w:rsid w:val="00097091"/>
    <w:rsid w:val="000A1230"/>
    <w:rsid w:val="000A7D5A"/>
    <w:rsid w:val="000B03E8"/>
    <w:rsid w:val="000B1165"/>
    <w:rsid w:val="000B28B3"/>
    <w:rsid w:val="000B52E8"/>
    <w:rsid w:val="000C5EC1"/>
    <w:rsid w:val="000D274A"/>
    <w:rsid w:val="000D58EB"/>
    <w:rsid w:val="000D7083"/>
    <w:rsid w:val="000E0200"/>
    <w:rsid w:val="000E4C3A"/>
    <w:rsid w:val="000E521B"/>
    <w:rsid w:val="000E6CC9"/>
    <w:rsid w:val="000F241F"/>
    <w:rsid w:val="000F6AE6"/>
    <w:rsid w:val="000F72A4"/>
    <w:rsid w:val="00102078"/>
    <w:rsid w:val="0010285D"/>
    <w:rsid w:val="00103B00"/>
    <w:rsid w:val="00105333"/>
    <w:rsid w:val="001066AA"/>
    <w:rsid w:val="001076A3"/>
    <w:rsid w:val="00113091"/>
    <w:rsid w:val="00121347"/>
    <w:rsid w:val="00122C32"/>
    <w:rsid w:val="00130803"/>
    <w:rsid w:val="00131780"/>
    <w:rsid w:val="00132FD5"/>
    <w:rsid w:val="00136616"/>
    <w:rsid w:val="00141C0C"/>
    <w:rsid w:val="00147064"/>
    <w:rsid w:val="00151427"/>
    <w:rsid w:val="0015236E"/>
    <w:rsid w:val="00153623"/>
    <w:rsid w:val="001545AA"/>
    <w:rsid w:val="00156A30"/>
    <w:rsid w:val="00163D08"/>
    <w:rsid w:val="00164313"/>
    <w:rsid w:val="0016560A"/>
    <w:rsid w:val="00167156"/>
    <w:rsid w:val="00167F87"/>
    <w:rsid w:val="00171DF4"/>
    <w:rsid w:val="001720FE"/>
    <w:rsid w:val="001732D3"/>
    <w:rsid w:val="00175F24"/>
    <w:rsid w:val="00176EAF"/>
    <w:rsid w:val="00182B33"/>
    <w:rsid w:val="001867CC"/>
    <w:rsid w:val="00192643"/>
    <w:rsid w:val="00192CA3"/>
    <w:rsid w:val="001978A8"/>
    <w:rsid w:val="001A04DF"/>
    <w:rsid w:val="001A1F15"/>
    <w:rsid w:val="001B61F4"/>
    <w:rsid w:val="001C4B1A"/>
    <w:rsid w:val="001C6068"/>
    <w:rsid w:val="001C6486"/>
    <w:rsid w:val="001C6C98"/>
    <w:rsid w:val="001C75A9"/>
    <w:rsid w:val="001C776C"/>
    <w:rsid w:val="001D3CD7"/>
    <w:rsid w:val="001D57D7"/>
    <w:rsid w:val="001E1BF3"/>
    <w:rsid w:val="001E1FC6"/>
    <w:rsid w:val="001E3D33"/>
    <w:rsid w:val="001E3E52"/>
    <w:rsid w:val="001F1DCE"/>
    <w:rsid w:val="001F3C6B"/>
    <w:rsid w:val="001F429C"/>
    <w:rsid w:val="001F6653"/>
    <w:rsid w:val="00204B3C"/>
    <w:rsid w:val="00204DB9"/>
    <w:rsid w:val="002051FB"/>
    <w:rsid w:val="00210DEF"/>
    <w:rsid w:val="00210FDF"/>
    <w:rsid w:val="0021162A"/>
    <w:rsid w:val="00211DF1"/>
    <w:rsid w:val="00211F9F"/>
    <w:rsid w:val="00215F27"/>
    <w:rsid w:val="00216096"/>
    <w:rsid w:val="00222AFB"/>
    <w:rsid w:val="00224515"/>
    <w:rsid w:val="0022565D"/>
    <w:rsid w:val="00227729"/>
    <w:rsid w:val="00227BA7"/>
    <w:rsid w:val="0023147F"/>
    <w:rsid w:val="002319B2"/>
    <w:rsid w:val="00237435"/>
    <w:rsid w:val="00240787"/>
    <w:rsid w:val="00246BCB"/>
    <w:rsid w:val="00253F3B"/>
    <w:rsid w:val="00266CA4"/>
    <w:rsid w:val="002703BE"/>
    <w:rsid w:val="0027290F"/>
    <w:rsid w:val="002760D1"/>
    <w:rsid w:val="00280E06"/>
    <w:rsid w:val="00281548"/>
    <w:rsid w:val="00291D74"/>
    <w:rsid w:val="0029227B"/>
    <w:rsid w:val="00294BCB"/>
    <w:rsid w:val="00294C16"/>
    <w:rsid w:val="0029622E"/>
    <w:rsid w:val="00297F1C"/>
    <w:rsid w:val="002A091F"/>
    <w:rsid w:val="002A2DCD"/>
    <w:rsid w:val="002A47BF"/>
    <w:rsid w:val="002A6E28"/>
    <w:rsid w:val="002A7067"/>
    <w:rsid w:val="002A70F2"/>
    <w:rsid w:val="002A7D58"/>
    <w:rsid w:val="002B4C2A"/>
    <w:rsid w:val="002B76DA"/>
    <w:rsid w:val="002C1674"/>
    <w:rsid w:val="002C24D1"/>
    <w:rsid w:val="002C4A1F"/>
    <w:rsid w:val="002C4E34"/>
    <w:rsid w:val="002C58E3"/>
    <w:rsid w:val="002D062B"/>
    <w:rsid w:val="002D2CD1"/>
    <w:rsid w:val="002E6DB0"/>
    <w:rsid w:val="002F0759"/>
    <w:rsid w:val="002F0BAA"/>
    <w:rsid w:val="002F1C79"/>
    <w:rsid w:val="002F64D4"/>
    <w:rsid w:val="002F65F1"/>
    <w:rsid w:val="00302F66"/>
    <w:rsid w:val="0030355A"/>
    <w:rsid w:val="003035C4"/>
    <w:rsid w:val="0030582D"/>
    <w:rsid w:val="0030691C"/>
    <w:rsid w:val="00307414"/>
    <w:rsid w:val="003106BC"/>
    <w:rsid w:val="00312435"/>
    <w:rsid w:val="00312A0A"/>
    <w:rsid w:val="00313F29"/>
    <w:rsid w:val="00324578"/>
    <w:rsid w:val="003328DF"/>
    <w:rsid w:val="003334C8"/>
    <w:rsid w:val="00337B95"/>
    <w:rsid w:val="00341B11"/>
    <w:rsid w:val="003425D7"/>
    <w:rsid w:val="003429E0"/>
    <w:rsid w:val="0034720A"/>
    <w:rsid w:val="00362AA7"/>
    <w:rsid w:val="003652CF"/>
    <w:rsid w:val="0036663F"/>
    <w:rsid w:val="003707AF"/>
    <w:rsid w:val="00371AEA"/>
    <w:rsid w:val="00376831"/>
    <w:rsid w:val="003835AE"/>
    <w:rsid w:val="00385B06"/>
    <w:rsid w:val="00393FEC"/>
    <w:rsid w:val="00395509"/>
    <w:rsid w:val="003A0C97"/>
    <w:rsid w:val="003A1348"/>
    <w:rsid w:val="003B1AC3"/>
    <w:rsid w:val="003B2E31"/>
    <w:rsid w:val="003B4CE8"/>
    <w:rsid w:val="003B5364"/>
    <w:rsid w:val="003B5AC4"/>
    <w:rsid w:val="003B6B79"/>
    <w:rsid w:val="003C0375"/>
    <w:rsid w:val="003C0E11"/>
    <w:rsid w:val="003C2420"/>
    <w:rsid w:val="003C44EE"/>
    <w:rsid w:val="003C4CD9"/>
    <w:rsid w:val="003C6109"/>
    <w:rsid w:val="003C662E"/>
    <w:rsid w:val="003D018B"/>
    <w:rsid w:val="003D4AEA"/>
    <w:rsid w:val="003D4EC6"/>
    <w:rsid w:val="003D5428"/>
    <w:rsid w:val="003D7B03"/>
    <w:rsid w:val="003E08CC"/>
    <w:rsid w:val="003E149A"/>
    <w:rsid w:val="003E15C4"/>
    <w:rsid w:val="003E19BC"/>
    <w:rsid w:val="003E440E"/>
    <w:rsid w:val="003F5888"/>
    <w:rsid w:val="00400548"/>
    <w:rsid w:val="004076E0"/>
    <w:rsid w:val="00410279"/>
    <w:rsid w:val="00410C37"/>
    <w:rsid w:val="004114D6"/>
    <w:rsid w:val="00413436"/>
    <w:rsid w:val="004152DD"/>
    <w:rsid w:val="00415CCC"/>
    <w:rsid w:val="00415FB8"/>
    <w:rsid w:val="00417952"/>
    <w:rsid w:val="00417C28"/>
    <w:rsid w:val="00422CAE"/>
    <w:rsid w:val="00423FB1"/>
    <w:rsid w:val="0043169F"/>
    <w:rsid w:val="00436057"/>
    <w:rsid w:val="00436436"/>
    <w:rsid w:val="0043756D"/>
    <w:rsid w:val="004461C2"/>
    <w:rsid w:val="004470C2"/>
    <w:rsid w:val="0045086D"/>
    <w:rsid w:val="004541C9"/>
    <w:rsid w:val="0045428F"/>
    <w:rsid w:val="0045615D"/>
    <w:rsid w:val="00456AF6"/>
    <w:rsid w:val="00457CC3"/>
    <w:rsid w:val="004611E4"/>
    <w:rsid w:val="0046189E"/>
    <w:rsid w:val="00464AF7"/>
    <w:rsid w:val="00471E66"/>
    <w:rsid w:val="00474B3E"/>
    <w:rsid w:val="004751CE"/>
    <w:rsid w:val="004765D3"/>
    <w:rsid w:val="004767C9"/>
    <w:rsid w:val="00481B2C"/>
    <w:rsid w:val="00481C52"/>
    <w:rsid w:val="00485DD8"/>
    <w:rsid w:val="004922E3"/>
    <w:rsid w:val="004A0E29"/>
    <w:rsid w:val="004A1358"/>
    <w:rsid w:val="004A3489"/>
    <w:rsid w:val="004A56D2"/>
    <w:rsid w:val="004A599A"/>
    <w:rsid w:val="004A7083"/>
    <w:rsid w:val="004B05E2"/>
    <w:rsid w:val="004B2152"/>
    <w:rsid w:val="004B3C47"/>
    <w:rsid w:val="004C5F6F"/>
    <w:rsid w:val="004C711E"/>
    <w:rsid w:val="004C7A1E"/>
    <w:rsid w:val="004D5BF7"/>
    <w:rsid w:val="004D7054"/>
    <w:rsid w:val="004E623B"/>
    <w:rsid w:val="004E7B5C"/>
    <w:rsid w:val="004F14F8"/>
    <w:rsid w:val="004F2020"/>
    <w:rsid w:val="004F2A93"/>
    <w:rsid w:val="004F2F79"/>
    <w:rsid w:val="004F3367"/>
    <w:rsid w:val="004F5D11"/>
    <w:rsid w:val="004F63D3"/>
    <w:rsid w:val="004F66B5"/>
    <w:rsid w:val="004F6D9D"/>
    <w:rsid w:val="005029C1"/>
    <w:rsid w:val="005071D3"/>
    <w:rsid w:val="00512DCC"/>
    <w:rsid w:val="00516F94"/>
    <w:rsid w:val="00520211"/>
    <w:rsid w:val="005204F5"/>
    <w:rsid w:val="00522104"/>
    <w:rsid w:val="00527388"/>
    <w:rsid w:val="0053082E"/>
    <w:rsid w:val="005337D8"/>
    <w:rsid w:val="00537655"/>
    <w:rsid w:val="00541768"/>
    <w:rsid w:val="00545051"/>
    <w:rsid w:val="00546448"/>
    <w:rsid w:val="00552845"/>
    <w:rsid w:val="005543AF"/>
    <w:rsid w:val="00555260"/>
    <w:rsid w:val="00557E13"/>
    <w:rsid w:val="005600B1"/>
    <w:rsid w:val="00564FFA"/>
    <w:rsid w:val="00570161"/>
    <w:rsid w:val="00570622"/>
    <w:rsid w:val="00571E69"/>
    <w:rsid w:val="00572218"/>
    <w:rsid w:val="00577455"/>
    <w:rsid w:val="005863FE"/>
    <w:rsid w:val="00597F6C"/>
    <w:rsid w:val="005A0812"/>
    <w:rsid w:val="005A0F24"/>
    <w:rsid w:val="005A117B"/>
    <w:rsid w:val="005A52D8"/>
    <w:rsid w:val="005A66A6"/>
    <w:rsid w:val="005B5BC4"/>
    <w:rsid w:val="005C17F8"/>
    <w:rsid w:val="005C24DB"/>
    <w:rsid w:val="005C4129"/>
    <w:rsid w:val="005C4EDC"/>
    <w:rsid w:val="005C66BB"/>
    <w:rsid w:val="005D1530"/>
    <w:rsid w:val="005D3D2E"/>
    <w:rsid w:val="005D706B"/>
    <w:rsid w:val="005E0132"/>
    <w:rsid w:val="005E1214"/>
    <w:rsid w:val="005E30DD"/>
    <w:rsid w:val="005E5E8B"/>
    <w:rsid w:val="005E68D1"/>
    <w:rsid w:val="005E785E"/>
    <w:rsid w:val="005F0DB5"/>
    <w:rsid w:val="005F1B30"/>
    <w:rsid w:val="005F69E5"/>
    <w:rsid w:val="00600F21"/>
    <w:rsid w:val="0060161A"/>
    <w:rsid w:val="00610450"/>
    <w:rsid w:val="00610EC8"/>
    <w:rsid w:val="00614668"/>
    <w:rsid w:val="00614CAE"/>
    <w:rsid w:val="006230DA"/>
    <w:rsid w:val="00633CCD"/>
    <w:rsid w:val="00633FD8"/>
    <w:rsid w:val="006346C6"/>
    <w:rsid w:val="006375E3"/>
    <w:rsid w:val="00642E09"/>
    <w:rsid w:val="006431F4"/>
    <w:rsid w:val="00643270"/>
    <w:rsid w:val="00646123"/>
    <w:rsid w:val="00647CFF"/>
    <w:rsid w:val="0065025D"/>
    <w:rsid w:val="00651FBB"/>
    <w:rsid w:val="006553E8"/>
    <w:rsid w:val="0066111E"/>
    <w:rsid w:val="00664179"/>
    <w:rsid w:val="00665764"/>
    <w:rsid w:val="00672322"/>
    <w:rsid w:val="00674481"/>
    <w:rsid w:val="00674932"/>
    <w:rsid w:val="00675B24"/>
    <w:rsid w:val="00681CCC"/>
    <w:rsid w:val="0068428B"/>
    <w:rsid w:val="006851C2"/>
    <w:rsid w:val="00686FEA"/>
    <w:rsid w:val="00690DFF"/>
    <w:rsid w:val="006915BE"/>
    <w:rsid w:val="006954FF"/>
    <w:rsid w:val="00695BAB"/>
    <w:rsid w:val="00696644"/>
    <w:rsid w:val="00696AAF"/>
    <w:rsid w:val="006A2E7D"/>
    <w:rsid w:val="006A3519"/>
    <w:rsid w:val="006A4AAE"/>
    <w:rsid w:val="006A5681"/>
    <w:rsid w:val="006B200B"/>
    <w:rsid w:val="006B3E6D"/>
    <w:rsid w:val="006B5B46"/>
    <w:rsid w:val="006C0097"/>
    <w:rsid w:val="006C16AC"/>
    <w:rsid w:val="006C29D1"/>
    <w:rsid w:val="006C4191"/>
    <w:rsid w:val="006C5811"/>
    <w:rsid w:val="006C5F53"/>
    <w:rsid w:val="006D0F51"/>
    <w:rsid w:val="006D1B6D"/>
    <w:rsid w:val="006D4DB0"/>
    <w:rsid w:val="006D4FFD"/>
    <w:rsid w:val="006D796E"/>
    <w:rsid w:val="006E1FD0"/>
    <w:rsid w:val="006E506E"/>
    <w:rsid w:val="006E5D47"/>
    <w:rsid w:val="006E72F9"/>
    <w:rsid w:val="006F1732"/>
    <w:rsid w:val="006F1AF5"/>
    <w:rsid w:val="006F64C7"/>
    <w:rsid w:val="00701125"/>
    <w:rsid w:val="00702CA0"/>
    <w:rsid w:val="007048E4"/>
    <w:rsid w:val="00707E4A"/>
    <w:rsid w:val="00710E81"/>
    <w:rsid w:val="0071104A"/>
    <w:rsid w:val="00711B8C"/>
    <w:rsid w:val="00712E5F"/>
    <w:rsid w:val="00713779"/>
    <w:rsid w:val="00714B90"/>
    <w:rsid w:val="00724746"/>
    <w:rsid w:val="00730925"/>
    <w:rsid w:val="00731F4A"/>
    <w:rsid w:val="00733C7F"/>
    <w:rsid w:val="00736F9B"/>
    <w:rsid w:val="00740007"/>
    <w:rsid w:val="00741CD3"/>
    <w:rsid w:val="00742A47"/>
    <w:rsid w:val="0074406E"/>
    <w:rsid w:val="0074534E"/>
    <w:rsid w:val="007468F0"/>
    <w:rsid w:val="00746A39"/>
    <w:rsid w:val="00750835"/>
    <w:rsid w:val="007543D3"/>
    <w:rsid w:val="00756BFC"/>
    <w:rsid w:val="00761956"/>
    <w:rsid w:val="00763404"/>
    <w:rsid w:val="007668C4"/>
    <w:rsid w:val="007701E7"/>
    <w:rsid w:val="00770C18"/>
    <w:rsid w:val="00771100"/>
    <w:rsid w:val="007720B8"/>
    <w:rsid w:val="0077367B"/>
    <w:rsid w:val="00774141"/>
    <w:rsid w:val="00774577"/>
    <w:rsid w:val="00774FD8"/>
    <w:rsid w:val="007774B0"/>
    <w:rsid w:val="0078321E"/>
    <w:rsid w:val="007842AC"/>
    <w:rsid w:val="00786D58"/>
    <w:rsid w:val="00786DED"/>
    <w:rsid w:val="007925AF"/>
    <w:rsid w:val="00792806"/>
    <w:rsid w:val="00797F99"/>
    <w:rsid w:val="007B22E6"/>
    <w:rsid w:val="007B67EC"/>
    <w:rsid w:val="007C0BFF"/>
    <w:rsid w:val="007D01A7"/>
    <w:rsid w:val="007D0A0F"/>
    <w:rsid w:val="007D1321"/>
    <w:rsid w:val="007D185C"/>
    <w:rsid w:val="007D1D7F"/>
    <w:rsid w:val="007D42C5"/>
    <w:rsid w:val="007D4C1B"/>
    <w:rsid w:val="007D760E"/>
    <w:rsid w:val="007E0DD3"/>
    <w:rsid w:val="007E37DE"/>
    <w:rsid w:val="007E4F08"/>
    <w:rsid w:val="007E6B28"/>
    <w:rsid w:val="007E7A18"/>
    <w:rsid w:val="007F2656"/>
    <w:rsid w:val="007F29AF"/>
    <w:rsid w:val="007F4014"/>
    <w:rsid w:val="00801D8F"/>
    <w:rsid w:val="00802251"/>
    <w:rsid w:val="008074A1"/>
    <w:rsid w:val="00810D7A"/>
    <w:rsid w:val="00811D53"/>
    <w:rsid w:val="008120CF"/>
    <w:rsid w:val="00812386"/>
    <w:rsid w:val="008142F6"/>
    <w:rsid w:val="00815079"/>
    <w:rsid w:val="00816A0A"/>
    <w:rsid w:val="00817E03"/>
    <w:rsid w:val="008236E1"/>
    <w:rsid w:val="00832770"/>
    <w:rsid w:val="00833E9E"/>
    <w:rsid w:val="00835187"/>
    <w:rsid w:val="0083609B"/>
    <w:rsid w:val="00837B08"/>
    <w:rsid w:val="00840444"/>
    <w:rsid w:val="008444BF"/>
    <w:rsid w:val="00844BB0"/>
    <w:rsid w:val="008458B3"/>
    <w:rsid w:val="00846467"/>
    <w:rsid w:val="0084791E"/>
    <w:rsid w:val="008507A2"/>
    <w:rsid w:val="00851D4C"/>
    <w:rsid w:val="00855C96"/>
    <w:rsid w:val="00855CBE"/>
    <w:rsid w:val="00861D79"/>
    <w:rsid w:val="00861F44"/>
    <w:rsid w:val="00865B95"/>
    <w:rsid w:val="00872D8B"/>
    <w:rsid w:val="00873EAF"/>
    <w:rsid w:val="008747F2"/>
    <w:rsid w:val="00875EF8"/>
    <w:rsid w:val="00882FE4"/>
    <w:rsid w:val="00882FF7"/>
    <w:rsid w:val="008854D5"/>
    <w:rsid w:val="00886BBF"/>
    <w:rsid w:val="00886C0B"/>
    <w:rsid w:val="00887566"/>
    <w:rsid w:val="0089286A"/>
    <w:rsid w:val="00893660"/>
    <w:rsid w:val="0089436F"/>
    <w:rsid w:val="00895F69"/>
    <w:rsid w:val="008A1B39"/>
    <w:rsid w:val="008A29DD"/>
    <w:rsid w:val="008A3EC7"/>
    <w:rsid w:val="008A4E53"/>
    <w:rsid w:val="008A6881"/>
    <w:rsid w:val="008B0F8F"/>
    <w:rsid w:val="008B1DAD"/>
    <w:rsid w:val="008B2D3D"/>
    <w:rsid w:val="008B3E3F"/>
    <w:rsid w:val="008B5D15"/>
    <w:rsid w:val="008C04C6"/>
    <w:rsid w:val="008C0B95"/>
    <w:rsid w:val="008C0EF9"/>
    <w:rsid w:val="008C35B3"/>
    <w:rsid w:val="008C5A45"/>
    <w:rsid w:val="008C7DCC"/>
    <w:rsid w:val="008D0DA8"/>
    <w:rsid w:val="008D0FAA"/>
    <w:rsid w:val="008D36C8"/>
    <w:rsid w:val="008D485E"/>
    <w:rsid w:val="008D7BA3"/>
    <w:rsid w:val="008E097A"/>
    <w:rsid w:val="008E6756"/>
    <w:rsid w:val="008F3FC0"/>
    <w:rsid w:val="008F74EC"/>
    <w:rsid w:val="00900894"/>
    <w:rsid w:val="0090090B"/>
    <w:rsid w:val="00901607"/>
    <w:rsid w:val="0090197E"/>
    <w:rsid w:val="00901DD2"/>
    <w:rsid w:val="00903C58"/>
    <w:rsid w:val="00907E69"/>
    <w:rsid w:val="009116CC"/>
    <w:rsid w:val="00912EBC"/>
    <w:rsid w:val="0091314F"/>
    <w:rsid w:val="00914231"/>
    <w:rsid w:val="00915A20"/>
    <w:rsid w:val="00921D3D"/>
    <w:rsid w:val="0092263D"/>
    <w:rsid w:val="009259A5"/>
    <w:rsid w:val="00927486"/>
    <w:rsid w:val="00933B7C"/>
    <w:rsid w:val="00941C42"/>
    <w:rsid w:val="0094291A"/>
    <w:rsid w:val="009437A5"/>
    <w:rsid w:val="0094569D"/>
    <w:rsid w:val="009471B8"/>
    <w:rsid w:val="009501CE"/>
    <w:rsid w:val="009527D5"/>
    <w:rsid w:val="00952CEC"/>
    <w:rsid w:val="00953CCE"/>
    <w:rsid w:val="009559F4"/>
    <w:rsid w:val="009579E7"/>
    <w:rsid w:val="0096154B"/>
    <w:rsid w:val="00961D61"/>
    <w:rsid w:val="00961F9F"/>
    <w:rsid w:val="0096421C"/>
    <w:rsid w:val="0096556E"/>
    <w:rsid w:val="00986AB0"/>
    <w:rsid w:val="009968A8"/>
    <w:rsid w:val="00997311"/>
    <w:rsid w:val="009A4324"/>
    <w:rsid w:val="009A4E5E"/>
    <w:rsid w:val="009A56A5"/>
    <w:rsid w:val="009A635F"/>
    <w:rsid w:val="009A709B"/>
    <w:rsid w:val="009A7DBD"/>
    <w:rsid w:val="009A7E5F"/>
    <w:rsid w:val="009C1113"/>
    <w:rsid w:val="009C1F73"/>
    <w:rsid w:val="009C52F6"/>
    <w:rsid w:val="009D6F41"/>
    <w:rsid w:val="009E0536"/>
    <w:rsid w:val="009E2AAF"/>
    <w:rsid w:val="009E4288"/>
    <w:rsid w:val="009E551F"/>
    <w:rsid w:val="009E6437"/>
    <w:rsid w:val="009F27A2"/>
    <w:rsid w:val="00A018EF"/>
    <w:rsid w:val="00A02ECE"/>
    <w:rsid w:val="00A03743"/>
    <w:rsid w:val="00A10287"/>
    <w:rsid w:val="00A113C8"/>
    <w:rsid w:val="00A11F70"/>
    <w:rsid w:val="00A1631E"/>
    <w:rsid w:val="00A257BB"/>
    <w:rsid w:val="00A264FE"/>
    <w:rsid w:val="00A27894"/>
    <w:rsid w:val="00A3261F"/>
    <w:rsid w:val="00A336BC"/>
    <w:rsid w:val="00A37384"/>
    <w:rsid w:val="00A375CE"/>
    <w:rsid w:val="00A4165D"/>
    <w:rsid w:val="00A41B51"/>
    <w:rsid w:val="00A43084"/>
    <w:rsid w:val="00A43FA2"/>
    <w:rsid w:val="00A44253"/>
    <w:rsid w:val="00A56324"/>
    <w:rsid w:val="00A56812"/>
    <w:rsid w:val="00A648BC"/>
    <w:rsid w:val="00A66092"/>
    <w:rsid w:val="00A7148B"/>
    <w:rsid w:val="00A7173A"/>
    <w:rsid w:val="00A72544"/>
    <w:rsid w:val="00A73F65"/>
    <w:rsid w:val="00A746D2"/>
    <w:rsid w:val="00A7698B"/>
    <w:rsid w:val="00A76BF6"/>
    <w:rsid w:val="00A80083"/>
    <w:rsid w:val="00A8215B"/>
    <w:rsid w:val="00A82230"/>
    <w:rsid w:val="00A82C28"/>
    <w:rsid w:val="00A833CD"/>
    <w:rsid w:val="00A86513"/>
    <w:rsid w:val="00AA1989"/>
    <w:rsid w:val="00AA2353"/>
    <w:rsid w:val="00AA3EAD"/>
    <w:rsid w:val="00AA42ED"/>
    <w:rsid w:val="00AA5DC5"/>
    <w:rsid w:val="00AA6792"/>
    <w:rsid w:val="00AA7C57"/>
    <w:rsid w:val="00AB0774"/>
    <w:rsid w:val="00AB331A"/>
    <w:rsid w:val="00AB5473"/>
    <w:rsid w:val="00AB69F7"/>
    <w:rsid w:val="00AB7004"/>
    <w:rsid w:val="00AB7E7F"/>
    <w:rsid w:val="00AC1A1A"/>
    <w:rsid w:val="00AC1B51"/>
    <w:rsid w:val="00AC1E55"/>
    <w:rsid w:val="00AC37DB"/>
    <w:rsid w:val="00AC63B3"/>
    <w:rsid w:val="00AD1149"/>
    <w:rsid w:val="00AD4D2B"/>
    <w:rsid w:val="00AD59E8"/>
    <w:rsid w:val="00AE0E75"/>
    <w:rsid w:val="00AE13C8"/>
    <w:rsid w:val="00AE1A9A"/>
    <w:rsid w:val="00AE632F"/>
    <w:rsid w:val="00AF12B1"/>
    <w:rsid w:val="00AF2121"/>
    <w:rsid w:val="00B02239"/>
    <w:rsid w:val="00B03F17"/>
    <w:rsid w:val="00B11200"/>
    <w:rsid w:val="00B1177F"/>
    <w:rsid w:val="00B127A6"/>
    <w:rsid w:val="00B13B22"/>
    <w:rsid w:val="00B13CD2"/>
    <w:rsid w:val="00B14AE4"/>
    <w:rsid w:val="00B1703B"/>
    <w:rsid w:val="00B20EC3"/>
    <w:rsid w:val="00B2369B"/>
    <w:rsid w:val="00B24CAE"/>
    <w:rsid w:val="00B313FD"/>
    <w:rsid w:val="00B3297C"/>
    <w:rsid w:val="00B424A1"/>
    <w:rsid w:val="00B448A9"/>
    <w:rsid w:val="00B5190C"/>
    <w:rsid w:val="00B5383D"/>
    <w:rsid w:val="00B53EB5"/>
    <w:rsid w:val="00B62FF2"/>
    <w:rsid w:val="00B6494A"/>
    <w:rsid w:val="00B72066"/>
    <w:rsid w:val="00B768CE"/>
    <w:rsid w:val="00B77920"/>
    <w:rsid w:val="00B77EF1"/>
    <w:rsid w:val="00B82374"/>
    <w:rsid w:val="00B97DF7"/>
    <w:rsid w:val="00BA011A"/>
    <w:rsid w:val="00BA1989"/>
    <w:rsid w:val="00BA3699"/>
    <w:rsid w:val="00BA4261"/>
    <w:rsid w:val="00BA56ED"/>
    <w:rsid w:val="00BA7992"/>
    <w:rsid w:val="00BB2DBB"/>
    <w:rsid w:val="00BB584A"/>
    <w:rsid w:val="00BB7FB3"/>
    <w:rsid w:val="00BC2DEB"/>
    <w:rsid w:val="00BC2EB5"/>
    <w:rsid w:val="00BC71FE"/>
    <w:rsid w:val="00BC72EE"/>
    <w:rsid w:val="00BD4885"/>
    <w:rsid w:val="00BD5B6A"/>
    <w:rsid w:val="00BD6220"/>
    <w:rsid w:val="00BD792D"/>
    <w:rsid w:val="00BD7F7C"/>
    <w:rsid w:val="00BE763A"/>
    <w:rsid w:val="00BF1C37"/>
    <w:rsid w:val="00BF2291"/>
    <w:rsid w:val="00BF281E"/>
    <w:rsid w:val="00BF2FBC"/>
    <w:rsid w:val="00BF4F57"/>
    <w:rsid w:val="00BF5BB3"/>
    <w:rsid w:val="00C00735"/>
    <w:rsid w:val="00C00D46"/>
    <w:rsid w:val="00C04743"/>
    <w:rsid w:val="00C102B7"/>
    <w:rsid w:val="00C10B04"/>
    <w:rsid w:val="00C133C0"/>
    <w:rsid w:val="00C14916"/>
    <w:rsid w:val="00C157A6"/>
    <w:rsid w:val="00C16024"/>
    <w:rsid w:val="00C178AA"/>
    <w:rsid w:val="00C216CA"/>
    <w:rsid w:val="00C26795"/>
    <w:rsid w:val="00C314ED"/>
    <w:rsid w:val="00C3200B"/>
    <w:rsid w:val="00C322D4"/>
    <w:rsid w:val="00C3648A"/>
    <w:rsid w:val="00C408C6"/>
    <w:rsid w:val="00C43BF0"/>
    <w:rsid w:val="00C46615"/>
    <w:rsid w:val="00C53F77"/>
    <w:rsid w:val="00C57641"/>
    <w:rsid w:val="00C63A14"/>
    <w:rsid w:val="00C64019"/>
    <w:rsid w:val="00C64350"/>
    <w:rsid w:val="00C704B6"/>
    <w:rsid w:val="00C70B18"/>
    <w:rsid w:val="00C73102"/>
    <w:rsid w:val="00C7560C"/>
    <w:rsid w:val="00C82B11"/>
    <w:rsid w:val="00C86442"/>
    <w:rsid w:val="00C8783D"/>
    <w:rsid w:val="00C92D29"/>
    <w:rsid w:val="00C96B37"/>
    <w:rsid w:val="00C9762A"/>
    <w:rsid w:val="00CA4FF8"/>
    <w:rsid w:val="00CA5FE4"/>
    <w:rsid w:val="00CA6166"/>
    <w:rsid w:val="00CB5FCA"/>
    <w:rsid w:val="00CB7DCA"/>
    <w:rsid w:val="00CC39ED"/>
    <w:rsid w:val="00CC3CF4"/>
    <w:rsid w:val="00CC4794"/>
    <w:rsid w:val="00CC498C"/>
    <w:rsid w:val="00CD1796"/>
    <w:rsid w:val="00CD204F"/>
    <w:rsid w:val="00CD3611"/>
    <w:rsid w:val="00CD48EB"/>
    <w:rsid w:val="00CD5B86"/>
    <w:rsid w:val="00CD7A73"/>
    <w:rsid w:val="00CE1292"/>
    <w:rsid w:val="00CE17CD"/>
    <w:rsid w:val="00CE1E19"/>
    <w:rsid w:val="00CE3619"/>
    <w:rsid w:val="00CE388C"/>
    <w:rsid w:val="00CE79EC"/>
    <w:rsid w:val="00CF1164"/>
    <w:rsid w:val="00CF312A"/>
    <w:rsid w:val="00CF41E7"/>
    <w:rsid w:val="00CF434D"/>
    <w:rsid w:val="00CF6503"/>
    <w:rsid w:val="00D015B4"/>
    <w:rsid w:val="00D0562C"/>
    <w:rsid w:val="00D060E8"/>
    <w:rsid w:val="00D06ED5"/>
    <w:rsid w:val="00D2067B"/>
    <w:rsid w:val="00D3075B"/>
    <w:rsid w:val="00D30B7B"/>
    <w:rsid w:val="00D32F30"/>
    <w:rsid w:val="00D331D0"/>
    <w:rsid w:val="00D36A12"/>
    <w:rsid w:val="00D37288"/>
    <w:rsid w:val="00D442B0"/>
    <w:rsid w:val="00D46699"/>
    <w:rsid w:val="00D46E1F"/>
    <w:rsid w:val="00D47AB1"/>
    <w:rsid w:val="00D5172A"/>
    <w:rsid w:val="00D54ED1"/>
    <w:rsid w:val="00D640E2"/>
    <w:rsid w:val="00D64940"/>
    <w:rsid w:val="00D64E44"/>
    <w:rsid w:val="00D675B5"/>
    <w:rsid w:val="00D70F48"/>
    <w:rsid w:val="00D71B5A"/>
    <w:rsid w:val="00D7329B"/>
    <w:rsid w:val="00D749DB"/>
    <w:rsid w:val="00D75129"/>
    <w:rsid w:val="00D770DE"/>
    <w:rsid w:val="00D8040A"/>
    <w:rsid w:val="00D8279F"/>
    <w:rsid w:val="00D86270"/>
    <w:rsid w:val="00D9023F"/>
    <w:rsid w:val="00D90B4B"/>
    <w:rsid w:val="00D931C9"/>
    <w:rsid w:val="00D93740"/>
    <w:rsid w:val="00D949CF"/>
    <w:rsid w:val="00DA01B4"/>
    <w:rsid w:val="00DA2A9C"/>
    <w:rsid w:val="00DA5D14"/>
    <w:rsid w:val="00DB240B"/>
    <w:rsid w:val="00DB249E"/>
    <w:rsid w:val="00DB281F"/>
    <w:rsid w:val="00DB3A9C"/>
    <w:rsid w:val="00DB68E6"/>
    <w:rsid w:val="00DB7640"/>
    <w:rsid w:val="00DC4C2B"/>
    <w:rsid w:val="00DC5CBD"/>
    <w:rsid w:val="00DC653B"/>
    <w:rsid w:val="00DD0E6F"/>
    <w:rsid w:val="00DD181F"/>
    <w:rsid w:val="00DD25BC"/>
    <w:rsid w:val="00DE0650"/>
    <w:rsid w:val="00DE1973"/>
    <w:rsid w:val="00DE199C"/>
    <w:rsid w:val="00DE3B1B"/>
    <w:rsid w:val="00DE3B27"/>
    <w:rsid w:val="00DE4089"/>
    <w:rsid w:val="00DE442E"/>
    <w:rsid w:val="00DE6C10"/>
    <w:rsid w:val="00DE70AD"/>
    <w:rsid w:val="00DF0D2F"/>
    <w:rsid w:val="00DF1C4E"/>
    <w:rsid w:val="00DF23E2"/>
    <w:rsid w:val="00DF2C38"/>
    <w:rsid w:val="00DF5E5F"/>
    <w:rsid w:val="00DF6F91"/>
    <w:rsid w:val="00E047C1"/>
    <w:rsid w:val="00E04DB8"/>
    <w:rsid w:val="00E062C3"/>
    <w:rsid w:val="00E07EC4"/>
    <w:rsid w:val="00E12FB8"/>
    <w:rsid w:val="00E142D9"/>
    <w:rsid w:val="00E16190"/>
    <w:rsid w:val="00E16FE2"/>
    <w:rsid w:val="00E17EB5"/>
    <w:rsid w:val="00E20EE2"/>
    <w:rsid w:val="00E34FF3"/>
    <w:rsid w:val="00E42B88"/>
    <w:rsid w:val="00E62249"/>
    <w:rsid w:val="00E638E0"/>
    <w:rsid w:val="00E660A2"/>
    <w:rsid w:val="00E7055A"/>
    <w:rsid w:val="00E75939"/>
    <w:rsid w:val="00E761AC"/>
    <w:rsid w:val="00E81238"/>
    <w:rsid w:val="00E81893"/>
    <w:rsid w:val="00E83224"/>
    <w:rsid w:val="00E838BF"/>
    <w:rsid w:val="00E90072"/>
    <w:rsid w:val="00E9374A"/>
    <w:rsid w:val="00EA407B"/>
    <w:rsid w:val="00EB1495"/>
    <w:rsid w:val="00EB2DDA"/>
    <w:rsid w:val="00EB46DB"/>
    <w:rsid w:val="00EB4BE8"/>
    <w:rsid w:val="00EB61EF"/>
    <w:rsid w:val="00EB7EE1"/>
    <w:rsid w:val="00EC0F7F"/>
    <w:rsid w:val="00EC1F4E"/>
    <w:rsid w:val="00EC7DC4"/>
    <w:rsid w:val="00ED0DC0"/>
    <w:rsid w:val="00EE2C31"/>
    <w:rsid w:val="00EE7ED1"/>
    <w:rsid w:val="00EF2FF7"/>
    <w:rsid w:val="00EF4F65"/>
    <w:rsid w:val="00EF53AB"/>
    <w:rsid w:val="00EF64C8"/>
    <w:rsid w:val="00F000D6"/>
    <w:rsid w:val="00F029F2"/>
    <w:rsid w:val="00F02FC7"/>
    <w:rsid w:val="00F05280"/>
    <w:rsid w:val="00F13F49"/>
    <w:rsid w:val="00F15A63"/>
    <w:rsid w:val="00F23DAA"/>
    <w:rsid w:val="00F2585F"/>
    <w:rsid w:val="00F302B8"/>
    <w:rsid w:val="00F30452"/>
    <w:rsid w:val="00F309BB"/>
    <w:rsid w:val="00F323F7"/>
    <w:rsid w:val="00F42D32"/>
    <w:rsid w:val="00F42FE9"/>
    <w:rsid w:val="00F43857"/>
    <w:rsid w:val="00F4581D"/>
    <w:rsid w:val="00F46A89"/>
    <w:rsid w:val="00F517A5"/>
    <w:rsid w:val="00F5409B"/>
    <w:rsid w:val="00F6067C"/>
    <w:rsid w:val="00F6075B"/>
    <w:rsid w:val="00F624AB"/>
    <w:rsid w:val="00F6628F"/>
    <w:rsid w:val="00F71929"/>
    <w:rsid w:val="00F72374"/>
    <w:rsid w:val="00F772E1"/>
    <w:rsid w:val="00F8174A"/>
    <w:rsid w:val="00F81953"/>
    <w:rsid w:val="00F873D6"/>
    <w:rsid w:val="00F92F51"/>
    <w:rsid w:val="00F949E1"/>
    <w:rsid w:val="00F97E61"/>
    <w:rsid w:val="00FA00BA"/>
    <w:rsid w:val="00FA4BD2"/>
    <w:rsid w:val="00FA5E02"/>
    <w:rsid w:val="00FB21A7"/>
    <w:rsid w:val="00FB28B7"/>
    <w:rsid w:val="00FB2D83"/>
    <w:rsid w:val="00FB32BD"/>
    <w:rsid w:val="00FB5093"/>
    <w:rsid w:val="00FB61BE"/>
    <w:rsid w:val="00FB6821"/>
    <w:rsid w:val="00FC2858"/>
    <w:rsid w:val="00FC34E4"/>
    <w:rsid w:val="00FC439C"/>
    <w:rsid w:val="00FC6584"/>
    <w:rsid w:val="00FC7D30"/>
    <w:rsid w:val="00FD18E7"/>
    <w:rsid w:val="00FD53E5"/>
    <w:rsid w:val="00FD74C5"/>
    <w:rsid w:val="00FE4652"/>
    <w:rsid w:val="00FE47C9"/>
    <w:rsid w:val="00FE5FEC"/>
    <w:rsid w:val="00FE66E4"/>
    <w:rsid w:val="00FF619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14579"/>
  <w15:docId w15:val="{15B180B7-2C4A-49D6-A8DD-4953660A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正文_编制方案"/>
    <w:qFormat/>
    <w:rsid w:val="003707AF"/>
    <w:pPr>
      <w:widowControl w:val="0"/>
      <w:spacing w:beforeLines="100" w:before="100" w:afterLines="100" w:after="100" w:line="360" w:lineRule="auto"/>
      <w:ind w:firstLineChars="200" w:firstLine="200"/>
      <w:jc w:val="both"/>
    </w:pPr>
    <w:rPr>
      <w:rFonts w:ascii="Times New Roman" w:eastAsia="仿宋_GB2312" w:hAnsi="Times New Roman"/>
      <w:sz w:val="24"/>
    </w:rPr>
  </w:style>
  <w:style w:type="paragraph" w:styleId="1">
    <w:name w:val="heading 1"/>
    <w:aliases w:val="标题_编制方案"/>
    <w:basedOn w:val="a0"/>
    <w:next w:val="a0"/>
    <w:link w:val="10"/>
    <w:uiPriority w:val="9"/>
    <w:qFormat/>
    <w:rsid w:val="003D4AEA"/>
    <w:pPr>
      <w:keepNext/>
      <w:keepLines/>
      <w:spacing w:beforeLines="200" w:before="200" w:afterLines="300" w:after="300"/>
      <w:ind w:firstLineChars="0" w:firstLine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aliases w:val="_标题1_编制方案"/>
    <w:basedOn w:val="a0"/>
    <w:next w:val="a0"/>
    <w:link w:val="20"/>
    <w:uiPriority w:val="9"/>
    <w:unhideWhenUsed/>
    <w:qFormat/>
    <w:rsid w:val="00EB7EE1"/>
    <w:pPr>
      <w:keepNext/>
      <w:keepLines/>
      <w:spacing w:beforeLines="150" w:before="150"/>
      <w:ind w:left="420" w:firstLineChars="0" w:hanging="420"/>
      <w:outlineLvl w:val="1"/>
    </w:pPr>
    <w:rPr>
      <w:rFonts w:cstheme="majorBidi"/>
      <w:b/>
      <w:bCs/>
      <w:szCs w:val="32"/>
    </w:rPr>
  </w:style>
  <w:style w:type="paragraph" w:styleId="3">
    <w:name w:val="heading 3"/>
    <w:aliases w:val="标题2_编制方案"/>
    <w:basedOn w:val="a0"/>
    <w:next w:val="a0"/>
    <w:link w:val="30"/>
    <w:uiPriority w:val="9"/>
    <w:unhideWhenUsed/>
    <w:qFormat/>
    <w:rsid w:val="00887566"/>
    <w:pPr>
      <w:keepNext/>
      <w:keepLines/>
      <w:outlineLvl w:val="2"/>
    </w:pPr>
    <w:rPr>
      <w:b/>
      <w:bCs/>
      <w:szCs w:val="32"/>
    </w:rPr>
  </w:style>
  <w:style w:type="paragraph" w:styleId="4">
    <w:name w:val="heading 4"/>
    <w:aliases w:val="指数名称代码_编制方案"/>
    <w:basedOn w:val="a0"/>
    <w:next w:val="a0"/>
    <w:link w:val="40"/>
    <w:uiPriority w:val="9"/>
    <w:unhideWhenUsed/>
    <w:qFormat/>
    <w:rsid w:val="00A746D2"/>
    <w:pPr>
      <w:keepNext/>
      <w:keepLines/>
      <w:spacing w:beforeLines="50" w:before="50" w:afterLines="50" w:after="50" w:line="300" w:lineRule="auto"/>
      <w:outlineLvl w:val="3"/>
    </w:pPr>
    <w:rPr>
      <w:rFonts w:cstheme="majorBidi"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3C0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3C0375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3C03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C0375"/>
    <w:rPr>
      <w:sz w:val="18"/>
      <w:szCs w:val="18"/>
    </w:rPr>
  </w:style>
  <w:style w:type="paragraph" w:styleId="a8">
    <w:name w:val="caption"/>
    <w:basedOn w:val="a0"/>
    <w:next w:val="a0"/>
    <w:uiPriority w:val="35"/>
    <w:unhideWhenUsed/>
    <w:qFormat/>
    <w:rsid w:val="00997311"/>
    <w:pPr>
      <w:spacing w:before="0" w:after="0"/>
      <w:ind w:firstLineChars="0" w:firstLine="0"/>
      <w:jc w:val="center"/>
    </w:pPr>
    <w:rPr>
      <w:rFonts w:asciiTheme="majorHAnsi" w:hAnsiTheme="majorHAnsi" w:cstheme="majorBidi"/>
      <w:sz w:val="18"/>
      <w:szCs w:val="20"/>
    </w:rPr>
  </w:style>
  <w:style w:type="character" w:customStyle="1" w:styleId="10">
    <w:name w:val="标题 1 字符"/>
    <w:aliases w:val="标题_编制方案 字符"/>
    <w:basedOn w:val="a1"/>
    <w:link w:val="1"/>
    <w:uiPriority w:val="9"/>
    <w:rsid w:val="003D4AEA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aliases w:val="_标题1_编制方案 字符"/>
    <w:basedOn w:val="a1"/>
    <w:link w:val="2"/>
    <w:uiPriority w:val="9"/>
    <w:rsid w:val="00EB7EE1"/>
    <w:rPr>
      <w:rFonts w:ascii="Times New Roman" w:eastAsia="仿宋_GB2312" w:hAnsi="Times New Roman" w:cstheme="majorBidi"/>
      <w:b/>
      <w:bCs/>
      <w:sz w:val="24"/>
      <w:szCs w:val="32"/>
    </w:rPr>
  </w:style>
  <w:style w:type="character" w:customStyle="1" w:styleId="30">
    <w:name w:val="标题 3 字符"/>
    <w:aliases w:val="标题2_编制方案 字符"/>
    <w:basedOn w:val="a1"/>
    <w:link w:val="3"/>
    <w:uiPriority w:val="9"/>
    <w:rsid w:val="00887566"/>
    <w:rPr>
      <w:rFonts w:ascii="Times New Roman" w:eastAsia="仿宋_GB2312" w:hAnsi="Times New Roman"/>
      <w:b/>
      <w:bCs/>
      <w:sz w:val="24"/>
      <w:szCs w:val="32"/>
    </w:rPr>
  </w:style>
  <w:style w:type="paragraph" w:styleId="a9">
    <w:name w:val="Title"/>
    <w:basedOn w:val="a0"/>
    <w:next w:val="a0"/>
    <w:link w:val="aa"/>
    <w:uiPriority w:val="10"/>
    <w:rsid w:val="00997311"/>
    <w:pPr>
      <w:ind w:firstLineChars="0" w:firstLine="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a">
    <w:name w:val="标题 字符"/>
    <w:basedOn w:val="a1"/>
    <w:link w:val="a9"/>
    <w:uiPriority w:val="10"/>
    <w:rsid w:val="00997311"/>
    <w:rPr>
      <w:rFonts w:asciiTheme="majorHAnsi" w:eastAsia="黑体" w:hAnsiTheme="majorHAnsi" w:cstheme="majorBidi"/>
      <w:bCs/>
      <w:sz w:val="32"/>
      <w:szCs w:val="32"/>
    </w:rPr>
  </w:style>
  <w:style w:type="character" w:styleId="ab">
    <w:name w:val="Placeholder Text"/>
    <w:basedOn w:val="a1"/>
    <w:uiPriority w:val="99"/>
    <w:semiHidden/>
    <w:rsid w:val="00546448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546448"/>
    <w:pPr>
      <w:spacing w:before="0"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546448"/>
    <w:rPr>
      <w:rFonts w:eastAsia="仿宋"/>
      <w:sz w:val="18"/>
      <w:szCs w:val="18"/>
    </w:rPr>
  </w:style>
  <w:style w:type="paragraph" w:styleId="ae">
    <w:name w:val="List Paragraph"/>
    <w:basedOn w:val="a0"/>
    <w:link w:val="af"/>
    <w:uiPriority w:val="34"/>
    <w:qFormat/>
    <w:rsid w:val="00EC1F4E"/>
    <w:pPr>
      <w:ind w:firstLine="420"/>
    </w:pPr>
  </w:style>
  <w:style w:type="paragraph" w:styleId="af0">
    <w:name w:val="Normal (Web)"/>
    <w:basedOn w:val="a0"/>
    <w:uiPriority w:val="99"/>
    <w:semiHidden/>
    <w:unhideWhenUsed/>
    <w:rsid w:val="000F241F"/>
    <w:pPr>
      <w:widowControl/>
      <w:spacing w:line="240" w:lineRule="auto"/>
      <w:ind w:firstLineChars="0" w:firstLine="0"/>
    </w:pPr>
    <w:rPr>
      <w:rFonts w:ascii="宋体" w:eastAsia="宋体" w:hAnsi="宋体" w:cs="宋体"/>
      <w:kern w:val="0"/>
      <w:szCs w:val="24"/>
    </w:rPr>
  </w:style>
  <w:style w:type="character" w:styleId="af1">
    <w:name w:val="Hyperlink"/>
    <w:basedOn w:val="a1"/>
    <w:uiPriority w:val="99"/>
    <w:unhideWhenUsed/>
    <w:rsid w:val="000F241F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9F27A2"/>
    <w:pPr>
      <w:spacing w:before="120" w:after="120"/>
    </w:pPr>
    <w:rPr>
      <w:b/>
      <w:bCs/>
      <w:caps/>
      <w:sz w:val="20"/>
      <w:szCs w:val="20"/>
    </w:rPr>
  </w:style>
  <w:style w:type="paragraph" w:styleId="af2">
    <w:name w:val="table of figures"/>
    <w:basedOn w:val="a0"/>
    <w:next w:val="a0"/>
    <w:uiPriority w:val="99"/>
    <w:unhideWhenUsed/>
    <w:rsid w:val="00915A20"/>
    <w:pPr>
      <w:ind w:leftChars="200" w:left="200" w:hangingChars="200" w:hanging="200"/>
    </w:pPr>
  </w:style>
  <w:style w:type="table" w:styleId="af3">
    <w:name w:val="Table Grid"/>
    <w:basedOn w:val="a2"/>
    <w:uiPriority w:val="59"/>
    <w:rsid w:val="00D20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1">
    <w:name w:val="Char Char1"/>
    <w:basedOn w:val="a0"/>
    <w:rsid w:val="00F72374"/>
    <w:pPr>
      <w:tabs>
        <w:tab w:val="left" w:pos="720"/>
      </w:tabs>
      <w:spacing w:before="0" w:after="0" w:line="240" w:lineRule="auto"/>
      <w:ind w:left="720" w:firstLineChars="0" w:firstLine="0"/>
    </w:pPr>
    <w:rPr>
      <w:rFonts w:eastAsia="宋体" w:cs="Times New Roman"/>
      <w:sz w:val="21"/>
      <w:szCs w:val="20"/>
    </w:rPr>
  </w:style>
  <w:style w:type="character" w:customStyle="1" w:styleId="40">
    <w:name w:val="标题 4 字符"/>
    <w:aliases w:val="指数名称代码_编制方案 字符"/>
    <w:basedOn w:val="a1"/>
    <w:link w:val="4"/>
    <w:uiPriority w:val="9"/>
    <w:rsid w:val="00A746D2"/>
    <w:rPr>
      <w:rFonts w:ascii="Times New Roman" w:eastAsia="仿宋_GB2312" w:hAnsi="Times New Roman" w:cstheme="majorBidi"/>
      <w:bCs/>
      <w:sz w:val="24"/>
      <w:szCs w:val="28"/>
    </w:rPr>
  </w:style>
  <w:style w:type="paragraph" w:styleId="af4">
    <w:name w:val="footnote text"/>
    <w:basedOn w:val="a0"/>
    <w:link w:val="af5"/>
    <w:uiPriority w:val="99"/>
    <w:semiHidden/>
    <w:unhideWhenUsed/>
    <w:rsid w:val="001C776C"/>
    <w:pPr>
      <w:snapToGrid w:val="0"/>
    </w:pPr>
    <w:rPr>
      <w:sz w:val="18"/>
      <w:szCs w:val="18"/>
    </w:rPr>
  </w:style>
  <w:style w:type="character" w:customStyle="1" w:styleId="af5">
    <w:name w:val="脚注文本 字符"/>
    <w:basedOn w:val="a1"/>
    <w:link w:val="af4"/>
    <w:uiPriority w:val="99"/>
    <w:semiHidden/>
    <w:rsid w:val="001C776C"/>
    <w:rPr>
      <w:rFonts w:eastAsia="仿宋"/>
      <w:sz w:val="18"/>
      <w:szCs w:val="18"/>
    </w:rPr>
  </w:style>
  <w:style w:type="character" w:styleId="af6">
    <w:name w:val="footnote reference"/>
    <w:basedOn w:val="a1"/>
    <w:uiPriority w:val="99"/>
    <w:semiHidden/>
    <w:unhideWhenUsed/>
    <w:rsid w:val="001C776C"/>
    <w:rPr>
      <w:vertAlign w:val="superscript"/>
    </w:rPr>
  </w:style>
  <w:style w:type="paragraph" w:styleId="21">
    <w:name w:val="toc 2"/>
    <w:basedOn w:val="a0"/>
    <w:next w:val="a0"/>
    <w:autoRedefine/>
    <w:uiPriority w:val="39"/>
    <w:unhideWhenUsed/>
    <w:rsid w:val="0029622E"/>
    <w:pPr>
      <w:spacing w:before="0" w:after="0"/>
      <w:ind w:left="240"/>
    </w:pPr>
    <w:rPr>
      <w:small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29622E"/>
    <w:pPr>
      <w:spacing w:before="0" w:after="0"/>
      <w:ind w:left="480"/>
    </w:pPr>
    <w:rPr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29622E"/>
    <w:pPr>
      <w:spacing w:before="0" w:after="0"/>
      <w:ind w:left="720"/>
    </w:pPr>
    <w:rPr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29622E"/>
    <w:pPr>
      <w:spacing w:before="0" w:after="0"/>
      <w:ind w:left="960"/>
    </w:pPr>
    <w:rPr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29622E"/>
    <w:pPr>
      <w:spacing w:before="0" w:after="0"/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29622E"/>
    <w:pPr>
      <w:spacing w:before="0" w:after="0"/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29622E"/>
    <w:pPr>
      <w:spacing w:before="0" w:after="0"/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29622E"/>
    <w:pPr>
      <w:spacing w:before="0" w:after="0"/>
      <w:ind w:left="1920"/>
    </w:pPr>
    <w:rPr>
      <w:sz w:val="18"/>
      <w:szCs w:val="18"/>
    </w:rPr>
  </w:style>
  <w:style w:type="paragraph" w:styleId="af7">
    <w:name w:val="No Spacing"/>
    <w:aliases w:val="模板备注_编制方案"/>
    <w:uiPriority w:val="1"/>
    <w:qFormat/>
    <w:rsid w:val="00C16024"/>
    <w:pPr>
      <w:widowControl w:val="0"/>
      <w:spacing w:line="300" w:lineRule="auto"/>
      <w:ind w:leftChars="200" w:left="200"/>
    </w:pPr>
    <w:rPr>
      <w:rFonts w:ascii="Times New Roman" w:eastAsia="仿宋_GB2312" w:hAnsi="Times New Roman"/>
    </w:rPr>
  </w:style>
  <w:style w:type="character" w:styleId="af8">
    <w:name w:val="annotation reference"/>
    <w:basedOn w:val="a1"/>
    <w:uiPriority w:val="99"/>
    <w:semiHidden/>
    <w:unhideWhenUsed/>
    <w:rsid w:val="00BC72EE"/>
    <w:rPr>
      <w:sz w:val="21"/>
      <w:szCs w:val="21"/>
    </w:rPr>
  </w:style>
  <w:style w:type="paragraph" w:styleId="af9">
    <w:name w:val="annotation text"/>
    <w:basedOn w:val="a0"/>
    <w:link w:val="afa"/>
    <w:uiPriority w:val="99"/>
    <w:semiHidden/>
    <w:unhideWhenUsed/>
    <w:rsid w:val="00BC72EE"/>
    <w:pPr>
      <w:spacing w:before="0" w:after="0" w:line="240" w:lineRule="auto"/>
      <w:ind w:firstLineChars="0" w:firstLine="0"/>
    </w:pPr>
    <w:rPr>
      <w:rFonts w:ascii="Calibri" w:eastAsia="宋体" w:hAnsi="Calibri" w:cs="Times New Roman"/>
      <w:sz w:val="21"/>
    </w:rPr>
  </w:style>
  <w:style w:type="character" w:customStyle="1" w:styleId="afa">
    <w:name w:val="批注文字 字符"/>
    <w:basedOn w:val="a1"/>
    <w:link w:val="af9"/>
    <w:uiPriority w:val="99"/>
    <w:semiHidden/>
    <w:rsid w:val="00BC72EE"/>
    <w:rPr>
      <w:rFonts w:ascii="Calibri" w:eastAsia="宋体" w:hAnsi="Calibri" w:cs="Times New Roman"/>
    </w:rPr>
  </w:style>
  <w:style w:type="character" w:customStyle="1" w:styleId="af">
    <w:name w:val="列出段落 字符"/>
    <w:basedOn w:val="a1"/>
    <w:link w:val="ae"/>
    <w:uiPriority w:val="34"/>
    <w:rsid w:val="003D4AEA"/>
    <w:rPr>
      <w:rFonts w:ascii="Times New Roman" w:eastAsia="仿宋_GB2312" w:hAnsi="Times New Roman"/>
      <w:sz w:val="24"/>
    </w:rPr>
  </w:style>
  <w:style w:type="paragraph" w:customStyle="1" w:styleId="a">
    <w:name w:val="三角子内容_编制方案"/>
    <w:basedOn w:val="4"/>
    <w:link w:val="afb"/>
    <w:qFormat/>
    <w:rsid w:val="00EB7EE1"/>
    <w:pPr>
      <w:keepNext w:val="0"/>
      <w:keepLines w:val="0"/>
      <w:numPr>
        <w:numId w:val="8"/>
      </w:numPr>
      <w:spacing w:line="360" w:lineRule="auto"/>
      <w:ind w:leftChars="270" w:left="370" w:hangingChars="100" w:hanging="100"/>
    </w:pPr>
  </w:style>
  <w:style w:type="character" w:customStyle="1" w:styleId="afb">
    <w:name w:val="三角子内容_编制方案 字符"/>
    <w:basedOn w:val="40"/>
    <w:link w:val="a"/>
    <w:rsid w:val="00EB7EE1"/>
    <w:rPr>
      <w:rFonts w:ascii="Times New Roman" w:eastAsia="仿宋_GB2312" w:hAnsi="Times New Roman" w:cstheme="majorBidi"/>
      <w:bCs/>
      <w:sz w:val="24"/>
      <w:szCs w:val="28"/>
    </w:rPr>
  </w:style>
  <w:style w:type="paragraph" w:customStyle="1" w:styleId="afc">
    <w:name w:val="指数简介_编制方案"/>
    <w:basedOn w:val="a0"/>
    <w:link w:val="afd"/>
    <w:qFormat/>
    <w:rsid w:val="00EB7EE1"/>
    <w:pPr>
      <w:spacing w:afterLines="200" w:after="200"/>
    </w:pPr>
  </w:style>
  <w:style w:type="character" w:customStyle="1" w:styleId="afd">
    <w:name w:val="指数简介_编制方案 字符"/>
    <w:basedOn w:val="a1"/>
    <w:link w:val="afc"/>
    <w:rsid w:val="00EB7EE1"/>
    <w:rPr>
      <w:rFonts w:ascii="Times New Roman" w:eastAsia="仿宋_GB2312" w:hAnsi="Times New Roman"/>
      <w:sz w:val="24"/>
    </w:rPr>
  </w:style>
  <w:style w:type="paragraph" w:customStyle="1" w:styleId="-">
    <w:name w:val="正文-编制方案"/>
    <w:basedOn w:val="a0"/>
    <w:link w:val="-0"/>
    <w:qFormat/>
    <w:rsid w:val="001732D3"/>
    <w:pPr>
      <w:spacing w:beforeLines="0" w:beforeAutospacing="1" w:afterLines="0" w:afterAutospacing="1"/>
    </w:pPr>
    <w:rPr>
      <w:rFonts w:cs="Times New Roman"/>
      <w:szCs w:val="24"/>
    </w:rPr>
  </w:style>
  <w:style w:type="character" w:customStyle="1" w:styleId="-0">
    <w:name w:val="正文-编制方案 字符"/>
    <w:basedOn w:val="a1"/>
    <w:link w:val="-"/>
    <w:rsid w:val="001732D3"/>
    <w:rPr>
      <w:rFonts w:ascii="Times New Roman" w:eastAsia="仿宋_GB2312" w:hAnsi="Times New Roman" w:cs="Times New Roman"/>
      <w:sz w:val="24"/>
      <w:szCs w:val="24"/>
    </w:rPr>
  </w:style>
  <w:style w:type="paragraph" w:styleId="afe">
    <w:name w:val="Revision"/>
    <w:hidden/>
    <w:uiPriority w:val="99"/>
    <w:semiHidden/>
    <w:rsid w:val="00113091"/>
    <w:rPr>
      <w:rFonts w:ascii="Times New Roman" w:eastAsia="仿宋_GB2312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296005352F409A9353649DDD1E56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946D05-B23E-403C-95BF-CBD0154EEF49}"/>
      </w:docPartPr>
      <w:docPartBody>
        <w:p w:rsidR="001009DE" w:rsidRDefault="007C1597" w:rsidP="007C1597">
          <w:pPr>
            <w:pStyle w:val="9B296005352F409A9353649DDD1E5647"/>
          </w:pPr>
          <w:r w:rsidRPr="00A423B2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0E"/>
    <w:rsid w:val="00031D73"/>
    <w:rsid w:val="00071A14"/>
    <w:rsid w:val="000B5B2A"/>
    <w:rsid w:val="000C3756"/>
    <w:rsid w:val="000D7C08"/>
    <w:rsid w:val="001009DE"/>
    <w:rsid w:val="001268D3"/>
    <w:rsid w:val="00172C6E"/>
    <w:rsid w:val="00274CC9"/>
    <w:rsid w:val="003053D4"/>
    <w:rsid w:val="00317923"/>
    <w:rsid w:val="003200A5"/>
    <w:rsid w:val="003251DA"/>
    <w:rsid w:val="0038593E"/>
    <w:rsid w:val="003C698B"/>
    <w:rsid w:val="003E192F"/>
    <w:rsid w:val="00436D74"/>
    <w:rsid w:val="00464C6A"/>
    <w:rsid w:val="00501CB0"/>
    <w:rsid w:val="005C099D"/>
    <w:rsid w:val="005C78D2"/>
    <w:rsid w:val="005D3742"/>
    <w:rsid w:val="005D49F4"/>
    <w:rsid w:val="005D6B80"/>
    <w:rsid w:val="00685031"/>
    <w:rsid w:val="006A2E58"/>
    <w:rsid w:val="006B7BAF"/>
    <w:rsid w:val="006D7FA0"/>
    <w:rsid w:val="007C1597"/>
    <w:rsid w:val="007D0750"/>
    <w:rsid w:val="008038BD"/>
    <w:rsid w:val="008050B2"/>
    <w:rsid w:val="008157C3"/>
    <w:rsid w:val="00836CAB"/>
    <w:rsid w:val="0084455E"/>
    <w:rsid w:val="008B02EC"/>
    <w:rsid w:val="008C4BA0"/>
    <w:rsid w:val="00905F4A"/>
    <w:rsid w:val="009D6C0E"/>
    <w:rsid w:val="00AE331E"/>
    <w:rsid w:val="00AE3E41"/>
    <w:rsid w:val="00AE71A7"/>
    <w:rsid w:val="00AF4FF8"/>
    <w:rsid w:val="00B11BC3"/>
    <w:rsid w:val="00B16942"/>
    <w:rsid w:val="00B33CAD"/>
    <w:rsid w:val="00B40161"/>
    <w:rsid w:val="00B72956"/>
    <w:rsid w:val="00BC6B91"/>
    <w:rsid w:val="00BE3E1F"/>
    <w:rsid w:val="00C17F26"/>
    <w:rsid w:val="00C34323"/>
    <w:rsid w:val="00C812BC"/>
    <w:rsid w:val="00CB0BF1"/>
    <w:rsid w:val="00CE1846"/>
    <w:rsid w:val="00D051CB"/>
    <w:rsid w:val="00D32E31"/>
    <w:rsid w:val="00D34B48"/>
    <w:rsid w:val="00D8380D"/>
    <w:rsid w:val="00D8770B"/>
    <w:rsid w:val="00DF4A34"/>
    <w:rsid w:val="00DF6D95"/>
    <w:rsid w:val="00E728AA"/>
    <w:rsid w:val="00EA5E11"/>
    <w:rsid w:val="00EB5736"/>
    <w:rsid w:val="00EF0482"/>
    <w:rsid w:val="00F24BEC"/>
    <w:rsid w:val="00F50CB9"/>
    <w:rsid w:val="00F67E8E"/>
    <w:rsid w:val="00FA4CDD"/>
    <w:rsid w:val="00FB137A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597"/>
    <w:rPr>
      <w:color w:val="808080"/>
    </w:rPr>
  </w:style>
  <w:style w:type="paragraph" w:customStyle="1" w:styleId="9B296005352F409A9353649DDD1E5647">
    <w:name w:val="9B296005352F409A9353649DDD1E5647"/>
    <w:rsid w:val="007C159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中性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6B51-F71A-445F-B049-1145E2EC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137</Words>
  <Characters>787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csindex</dc:creator>
  <cp:lastModifiedBy>Manli</cp:lastModifiedBy>
  <cp:revision>3</cp:revision>
  <cp:lastPrinted>2016-09-09T01:51:00Z</cp:lastPrinted>
  <dcterms:created xsi:type="dcterms:W3CDTF">2022-10-12T02:30:00Z</dcterms:created>
  <dcterms:modified xsi:type="dcterms:W3CDTF">2022-10-12T09:11:00Z</dcterms:modified>
</cp:coreProperties>
</file>